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3"/>
        <w:jc w:val="center"/>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三江口绿地公园物业服务采购条款</w:t>
      </w:r>
    </w:p>
    <w:p>
      <w:pPr>
        <w:pStyle w:val="3"/>
        <w:jc w:val="center"/>
        <w:rPr>
          <w:rFonts w:hint="eastAsia" w:ascii="仿宋_GB2312" w:hAnsi="仿宋_GB2312" w:eastAsia="仿宋_GB2312" w:cs="仿宋_GB2312"/>
          <w:sz w:val="40"/>
          <w:szCs w:val="40"/>
          <w:lang w:val="en-US" w:eastAsia="zh-CN"/>
        </w:rPr>
      </w:pPr>
    </w:p>
    <w:p>
      <w:pPr>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b w:val="0"/>
          <w:bCs/>
          <w:szCs w:val="32"/>
          <w:lang w:val="en-US" w:eastAsia="zh-CN"/>
        </w:rPr>
        <w:t>一、采购内容</w:t>
      </w:r>
    </w:p>
    <w:tbl>
      <w:tblPr>
        <w:tblStyle w:val="5"/>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3155"/>
        <w:gridCol w:w="1290"/>
        <w:gridCol w:w="193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38" w:type="dxa"/>
            <w:noWrap w:val="0"/>
            <w:vAlign w:val="center"/>
          </w:tcPr>
          <w:p>
            <w:pPr>
              <w:snapToGrid w:val="0"/>
              <w:jc w:val="center"/>
              <w:rPr>
                <w:rFonts w:hint="eastAsia" w:ascii="Times New Roman" w:hAnsi="Times New Roman" w:eastAsia="仿宋_GB2312" w:cs="仿宋_GB2312"/>
                <w:b/>
                <w:sz w:val="24"/>
              </w:rPr>
            </w:pPr>
            <w:r>
              <w:rPr>
                <w:rFonts w:hint="eastAsia" w:ascii="Times New Roman" w:hAnsi="Times New Roman" w:eastAsia="仿宋_GB2312" w:cs="仿宋_GB2312"/>
                <w:b/>
                <w:sz w:val="24"/>
              </w:rPr>
              <w:t>序号</w:t>
            </w:r>
          </w:p>
        </w:tc>
        <w:tc>
          <w:tcPr>
            <w:tcW w:w="3155" w:type="dxa"/>
            <w:noWrap w:val="0"/>
            <w:vAlign w:val="center"/>
          </w:tcPr>
          <w:p>
            <w:pPr>
              <w:snapToGrid w:val="0"/>
              <w:jc w:val="center"/>
              <w:rPr>
                <w:rFonts w:hint="eastAsia" w:ascii="Times New Roman" w:hAnsi="Times New Roman" w:eastAsia="仿宋_GB2312" w:cs="仿宋_GB2312"/>
                <w:b/>
                <w:sz w:val="24"/>
              </w:rPr>
            </w:pPr>
            <w:r>
              <w:rPr>
                <w:rFonts w:hint="eastAsia" w:ascii="Times New Roman" w:hAnsi="Times New Roman" w:eastAsia="仿宋_GB2312" w:cs="仿宋_GB2312"/>
                <w:b/>
                <w:sz w:val="24"/>
              </w:rPr>
              <w:t>采购内容</w:t>
            </w:r>
          </w:p>
        </w:tc>
        <w:tc>
          <w:tcPr>
            <w:tcW w:w="1290" w:type="dxa"/>
            <w:noWrap w:val="0"/>
            <w:vAlign w:val="center"/>
          </w:tcPr>
          <w:p>
            <w:pPr>
              <w:snapToGrid w:val="0"/>
              <w:jc w:val="center"/>
              <w:rPr>
                <w:rFonts w:hint="eastAsia" w:ascii="Times New Roman" w:hAnsi="Times New Roman" w:eastAsia="仿宋_GB2312" w:cs="仿宋_GB2312"/>
                <w:b/>
                <w:sz w:val="24"/>
              </w:rPr>
            </w:pPr>
            <w:r>
              <w:rPr>
                <w:rFonts w:hint="eastAsia" w:ascii="Times New Roman" w:hAnsi="Times New Roman" w:eastAsia="仿宋_GB2312" w:cs="仿宋_GB2312"/>
                <w:b/>
                <w:sz w:val="24"/>
              </w:rPr>
              <w:t>服务期限</w:t>
            </w:r>
          </w:p>
        </w:tc>
        <w:tc>
          <w:tcPr>
            <w:tcW w:w="1935" w:type="dxa"/>
            <w:noWrap w:val="0"/>
            <w:vAlign w:val="center"/>
          </w:tcPr>
          <w:p>
            <w:pPr>
              <w:snapToGrid w:val="0"/>
              <w:jc w:val="center"/>
              <w:rPr>
                <w:rFonts w:hint="default" w:ascii="Times New Roman" w:hAnsi="Times New Roman" w:eastAsia="仿宋_GB2312" w:cs="仿宋_GB2312"/>
                <w:b/>
                <w:color w:val="auto"/>
                <w:sz w:val="24"/>
                <w:highlight w:val="none"/>
                <w:lang w:val="en-US" w:eastAsia="zh-CN"/>
              </w:rPr>
            </w:pPr>
            <w:r>
              <w:rPr>
                <w:rFonts w:hint="eastAsia" w:ascii="Times New Roman" w:hAnsi="Times New Roman" w:eastAsia="仿宋_GB2312" w:cs="仿宋_GB2312"/>
                <w:b/>
                <w:color w:val="auto"/>
                <w:sz w:val="24"/>
                <w:highlight w:val="none"/>
              </w:rPr>
              <w:t>▲</w:t>
            </w:r>
            <w:r>
              <w:rPr>
                <w:rFonts w:hint="eastAsia" w:cs="仿宋_GB2312"/>
                <w:b/>
                <w:color w:val="auto"/>
                <w:sz w:val="24"/>
                <w:highlight w:val="none"/>
                <w:lang w:val="en-US" w:eastAsia="zh-CN"/>
              </w:rPr>
              <w:t>最高限价</w:t>
            </w:r>
          </w:p>
        </w:tc>
        <w:tc>
          <w:tcPr>
            <w:tcW w:w="1695" w:type="dxa"/>
            <w:noWrap w:val="0"/>
            <w:vAlign w:val="center"/>
          </w:tcPr>
          <w:p>
            <w:pPr>
              <w:snapToGrid w:val="0"/>
              <w:jc w:val="center"/>
              <w:rPr>
                <w:rFonts w:hint="eastAsia" w:ascii="Times New Roman" w:hAnsi="Times New Roman" w:eastAsia="仿宋_GB2312" w:cs="仿宋_GB2312"/>
                <w:b/>
                <w:sz w:val="24"/>
              </w:rPr>
            </w:pPr>
            <w:r>
              <w:rPr>
                <w:rFonts w:hint="eastAsia" w:ascii="Times New Roman" w:hAnsi="Times New Roman"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38" w:type="dxa"/>
            <w:noWrap w:val="0"/>
            <w:vAlign w:val="center"/>
          </w:tcPr>
          <w:p>
            <w:pPr>
              <w:widowControl/>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1</w:t>
            </w:r>
          </w:p>
        </w:tc>
        <w:tc>
          <w:tcPr>
            <w:tcW w:w="3155" w:type="dxa"/>
            <w:noWrap w:val="0"/>
            <w:vAlign w:val="center"/>
          </w:tcPr>
          <w:p>
            <w:pPr>
              <w:jc w:val="center"/>
              <w:rPr>
                <w:rFonts w:hint="eastAsia" w:ascii="Times New Roman" w:hAnsi="Times New Roman" w:eastAsia="仿宋_GB2312" w:cs="仿宋_GB2312"/>
                <w:sz w:val="24"/>
              </w:rPr>
            </w:pPr>
            <w:r>
              <w:rPr>
                <w:rFonts w:hint="eastAsia" w:cs="仿宋_GB2312"/>
                <w:sz w:val="24"/>
                <w:lang w:val="en-US" w:eastAsia="zh-CN"/>
              </w:rPr>
              <w:t>三江口绿地公园</w:t>
            </w:r>
            <w:r>
              <w:rPr>
                <w:rFonts w:hint="eastAsia" w:ascii="Times New Roman" w:hAnsi="Times New Roman" w:eastAsia="仿宋_GB2312" w:cs="仿宋_GB2312"/>
                <w:sz w:val="24"/>
              </w:rPr>
              <w:t>物业服务</w:t>
            </w:r>
          </w:p>
        </w:tc>
        <w:tc>
          <w:tcPr>
            <w:tcW w:w="1290" w:type="dxa"/>
            <w:noWrap w:val="0"/>
            <w:vAlign w:val="center"/>
          </w:tcPr>
          <w:p>
            <w:pPr>
              <w:jc w:val="center"/>
              <w:rPr>
                <w:rFonts w:hint="default" w:ascii="Times New Roman" w:hAnsi="Times New Roman" w:eastAsia="仿宋_GB2312" w:cs="仿宋_GB2312"/>
                <w:sz w:val="24"/>
                <w:lang w:val="en-US"/>
              </w:rPr>
            </w:pPr>
            <w:r>
              <w:rPr>
                <w:rFonts w:hint="eastAsia" w:cs="仿宋_GB2312"/>
                <w:sz w:val="24"/>
                <w:lang w:val="en-US" w:eastAsia="zh-CN"/>
              </w:rPr>
              <w:t>一年</w:t>
            </w:r>
          </w:p>
        </w:tc>
        <w:tc>
          <w:tcPr>
            <w:tcW w:w="1935" w:type="dxa"/>
            <w:noWrap w:val="0"/>
            <w:vAlign w:val="center"/>
          </w:tcPr>
          <w:p>
            <w:pPr>
              <w:snapToGrid w:val="0"/>
              <w:jc w:val="center"/>
              <w:rPr>
                <w:rFonts w:hint="eastAsia" w:ascii="Times New Roman" w:hAnsi="Times New Roman" w:eastAsia="仿宋_GB2312" w:cs="仿宋_GB2312"/>
                <w:color w:val="auto"/>
                <w:sz w:val="24"/>
                <w:highlight w:val="none"/>
              </w:rPr>
            </w:pPr>
            <w:r>
              <w:rPr>
                <w:rFonts w:hint="eastAsia" w:cs="仿宋_GB2312"/>
                <w:color w:val="auto"/>
                <w:sz w:val="24"/>
                <w:highlight w:val="none"/>
                <w:lang w:val="en-US" w:eastAsia="zh-CN"/>
              </w:rPr>
              <w:t>49.1</w:t>
            </w:r>
            <w:r>
              <w:rPr>
                <w:rFonts w:hint="eastAsia" w:ascii="Times New Roman" w:hAnsi="Times New Roman" w:eastAsia="仿宋_GB2312" w:cs="仿宋_GB2312"/>
                <w:color w:val="auto"/>
                <w:sz w:val="24"/>
                <w:highlight w:val="none"/>
              </w:rPr>
              <w:t>万元</w:t>
            </w:r>
          </w:p>
        </w:tc>
        <w:tc>
          <w:tcPr>
            <w:tcW w:w="1695" w:type="dxa"/>
            <w:noWrap w:val="0"/>
            <w:vAlign w:val="center"/>
          </w:tcPr>
          <w:p>
            <w:pPr>
              <w:jc w:val="center"/>
              <w:rPr>
                <w:rFonts w:hint="default" w:ascii="Times New Roman" w:hAnsi="Times New Roman" w:eastAsia="仿宋_GB2312" w:cs="仿宋_GB2312"/>
                <w:sz w:val="24"/>
                <w:lang w:val="en-US" w:eastAsia="zh-CN"/>
              </w:rPr>
            </w:pPr>
          </w:p>
        </w:tc>
      </w:tr>
    </w:tbl>
    <w:p>
      <w:pPr>
        <w:spacing w:line="360" w:lineRule="auto"/>
        <w:ind w:firstLine="560" w:firstLineChars="200"/>
        <w:rPr>
          <w:rFonts w:hint="eastAsia"/>
          <w:sz w:val="28"/>
          <w:szCs w:val="28"/>
          <w:lang w:val="en-US" w:eastAsia="zh-CN"/>
        </w:rPr>
      </w:pPr>
      <w:r>
        <w:rPr>
          <w:rFonts w:hint="eastAsia" w:ascii="仿宋_GB2312" w:hAnsi="仿宋_GB2312" w:eastAsia="仿宋_GB2312" w:cs="仿宋_GB2312"/>
          <w:b w:val="0"/>
          <w:bCs/>
          <w:sz w:val="28"/>
          <w:szCs w:val="28"/>
          <w:lang w:val="en-US" w:eastAsia="zh-CN"/>
        </w:rPr>
        <w:t>其中：</w:t>
      </w:r>
      <w:r>
        <w:rPr>
          <w:rFonts w:hint="eastAsia" w:ascii="Times New Roman"/>
          <w:sz w:val="28"/>
          <w:szCs w:val="28"/>
          <w:lang w:val="en-US" w:eastAsia="zh-CN"/>
        </w:rPr>
        <w:t>费用</w:t>
      </w:r>
      <w:r>
        <w:rPr>
          <w:rFonts w:hint="eastAsia"/>
          <w:sz w:val="28"/>
          <w:szCs w:val="28"/>
          <w:lang w:val="en-US" w:eastAsia="zh-CN"/>
        </w:rPr>
        <w:t>构成应包人工费（含人员福利、保险、服装费等）、保洁用品及耗材（含清洁用品、保洁用品、四害消杀等）、垃圾清运等本项目管理服务所需的费用、管理费、利润、税金等一切费用。不包含：水电费、绿化养护费、卫生间卫生纸用品、公园设施设备维保费、工程维修物料、前期开办费用。</w:t>
      </w:r>
    </w:p>
    <w:p>
      <w:pPr>
        <w:spacing w:line="360" w:lineRule="auto"/>
        <w:ind w:firstLine="560" w:firstLineChars="200"/>
        <w:rPr>
          <w:rFonts w:hint="default" w:eastAsia="仿宋_GB2312"/>
          <w:sz w:val="28"/>
          <w:szCs w:val="28"/>
          <w:lang w:val="en-US" w:eastAsia="zh-CN"/>
        </w:rPr>
      </w:pPr>
      <w:r>
        <w:rPr>
          <w:rFonts w:hint="eastAsia"/>
          <w:sz w:val="28"/>
          <w:szCs w:val="28"/>
          <w:lang w:val="en-US" w:eastAsia="zh-CN"/>
        </w:rPr>
        <w:t>服务</w:t>
      </w:r>
      <w:r>
        <w:rPr>
          <w:rFonts w:hint="default" w:ascii="Times New Roman" w:hAnsi="Times New Roman"/>
          <w:sz w:val="28"/>
          <w:szCs w:val="28"/>
          <w:lang w:val="en-US"/>
        </w:rPr>
        <w:t>期</w:t>
      </w:r>
      <w:r>
        <w:rPr>
          <w:rFonts w:hint="eastAsia"/>
          <w:sz w:val="28"/>
          <w:szCs w:val="28"/>
          <w:lang w:val="en-US" w:eastAsia="zh-CN"/>
        </w:rPr>
        <w:t>间</w:t>
      </w:r>
      <w:r>
        <w:rPr>
          <w:rFonts w:hint="eastAsia" w:ascii="宋体" w:hAnsi="宋体" w:cs="宋体"/>
          <w:b w:val="0"/>
          <w:bCs/>
          <w:sz w:val="28"/>
          <w:szCs w:val="28"/>
          <w:highlight w:val="none"/>
          <w:lang w:val="en-US" w:eastAsia="zh-CN"/>
        </w:rPr>
        <w:t>根据采购单位的配置需求，按实结算，</w:t>
      </w:r>
      <w:r>
        <w:rPr>
          <w:rFonts w:hint="default" w:ascii="Times New Roman" w:hAnsi="Times New Roman"/>
          <w:sz w:val="28"/>
          <w:szCs w:val="28"/>
          <w:lang w:val="en-US"/>
        </w:rPr>
        <w:t>具体进场时间以采购单位书面通知为准</w:t>
      </w:r>
      <w:r>
        <w:rPr>
          <w:rFonts w:hint="eastAsia"/>
          <w:sz w:val="28"/>
          <w:szCs w:val="28"/>
          <w:lang w:val="en-US" w:eastAsia="zh-CN"/>
        </w:rPr>
        <w:t>。</w:t>
      </w:r>
    </w:p>
    <w:p>
      <w:pPr>
        <w:pStyle w:val="3"/>
        <w:ind w:firstLine="640" w:firstLineChars="200"/>
        <w:rPr>
          <w:rFonts w:hint="eastAsia"/>
          <w:lang w:val="en-US" w:eastAsia="zh-CN"/>
        </w:rPr>
      </w:pPr>
      <w:r>
        <w:rPr>
          <w:rFonts w:hint="eastAsia" w:ascii="Times New Roman" w:hAnsi="Times New Roman" w:eastAsia="黑体" w:cs="黑体"/>
          <w:b w:val="0"/>
          <w:bCs/>
          <w:sz w:val="32"/>
          <w:szCs w:val="32"/>
          <w:lang w:val="en-US" w:eastAsia="zh-CN"/>
        </w:rPr>
        <w:t>二、采购需求</w:t>
      </w:r>
    </w:p>
    <w:p>
      <w:pPr>
        <w:spacing w:line="360" w:lineRule="auto"/>
        <w:ind w:firstLine="560" w:firstLineChars="200"/>
        <w:rPr>
          <w:rFonts w:hint="eastAsia" w:ascii="宋体" w:hAnsi="宋体" w:cs="宋体"/>
          <w:b w:val="0"/>
          <w:bCs/>
          <w:sz w:val="28"/>
          <w:szCs w:val="28"/>
          <w:highlight w:val="none"/>
          <w:lang w:val="en-US" w:eastAsia="zh-CN"/>
        </w:rPr>
      </w:pPr>
      <w:r>
        <w:rPr>
          <w:rFonts w:hint="eastAsia" w:ascii="宋体" w:hAnsi="宋体" w:cs="宋体"/>
          <w:b w:val="0"/>
          <w:bCs/>
          <w:sz w:val="28"/>
          <w:szCs w:val="28"/>
          <w:highlight w:val="none"/>
          <w:lang w:val="en-US" w:eastAsia="zh-CN"/>
        </w:rPr>
        <w:t>本次采购范围为丽水市桃山大桥西侧绿地公园起点区，总用地面积约10万平方米，包含草坪、游步道、停车场以及游客中心，游客中心建筑面积约800平方米。</w:t>
      </w:r>
    </w:p>
    <w:p>
      <w:pPr>
        <w:widowControl/>
        <w:spacing w:line="560" w:lineRule="exact"/>
        <w:ind w:firstLine="560" w:firstLineChars="200"/>
        <w:rPr>
          <w:rFonts w:hint="eastAsia" w:ascii="宋体" w:hAnsi="宋体" w:cs="宋体"/>
          <w:sz w:val="28"/>
          <w:szCs w:val="28"/>
        </w:rPr>
      </w:pPr>
      <w:r>
        <w:rPr>
          <w:rFonts w:hint="eastAsia" w:ascii="宋体" w:hAnsi="宋体" w:cs="宋体"/>
          <w:sz w:val="28"/>
          <w:szCs w:val="28"/>
        </w:rPr>
        <w:t>公园管理服务基本要求需符合《丽水市城市市容和环境卫生管理条例》、《丽水市绿道管理办法》等有关文件的要求，本次管理服务具体内容包括但不限于以下内容：</w:t>
      </w:r>
    </w:p>
    <w:p>
      <w:pPr>
        <w:widowControl/>
        <w:spacing w:line="560" w:lineRule="exact"/>
        <w:ind w:firstLine="560" w:firstLineChars="200"/>
        <w:rPr>
          <w:rFonts w:hint="eastAsia" w:ascii="宋体" w:hAnsi="宋体" w:cs="宋体"/>
          <w:sz w:val="28"/>
          <w:szCs w:val="28"/>
        </w:rPr>
      </w:pPr>
      <w:r>
        <w:rPr>
          <w:rFonts w:hint="eastAsia" w:ascii="宋体" w:hAnsi="宋体" w:cs="宋体"/>
          <w:sz w:val="28"/>
          <w:szCs w:val="28"/>
        </w:rPr>
        <w:t>1）保洁服务：日常保洁、深度保洁、公厕保洁及其他保洁服务（含硬地铺装、绿地、各类景观、</w:t>
      </w:r>
      <w:r>
        <w:rPr>
          <w:rFonts w:hint="eastAsia" w:ascii="宋体" w:hAnsi="宋体" w:cs="宋体"/>
          <w:sz w:val="28"/>
          <w:szCs w:val="28"/>
          <w:lang w:val="en-US" w:eastAsia="zh-CN"/>
        </w:rPr>
        <w:t>游客中心、</w:t>
      </w:r>
      <w:r>
        <w:rPr>
          <w:rFonts w:hint="eastAsia" w:ascii="宋体" w:hAnsi="宋体" w:cs="宋体"/>
          <w:sz w:val="28"/>
          <w:szCs w:val="28"/>
        </w:rPr>
        <w:t>游乐设施深度保洁）。</w:t>
      </w:r>
    </w:p>
    <w:p>
      <w:pPr>
        <w:widowControl/>
        <w:spacing w:line="560" w:lineRule="exact"/>
        <w:ind w:firstLine="560" w:firstLineChars="200"/>
        <w:rPr>
          <w:rFonts w:hint="eastAsia" w:ascii="宋体" w:hAnsi="宋体" w:cs="宋体"/>
          <w:sz w:val="28"/>
          <w:szCs w:val="28"/>
        </w:rPr>
      </w:pPr>
      <w:r>
        <w:rPr>
          <w:rFonts w:hint="eastAsia" w:ascii="宋体" w:hAnsi="宋体" w:cs="宋体"/>
          <w:sz w:val="28"/>
          <w:szCs w:val="28"/>
        </w:rPr>
        <w:t>2）安保服务：安全管理、治安巡视、公园内主题活动安保服务及其他安保服务。</w:t>
      </w:r>
    </w:p>
    <w:p>
      <w:pPr>
        <w:widowControl/>
        <w:spacing w:line="560" w:lineRule="exact"/>
        <w:ind w:firstLine="560" w:firstLineChars="200"/>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）维护服务：设施设备的</w:t>
      </w:r>
      <w:r>
        <w:rPr>
          <w:rFonts w:hint="eastAsia" w:ascii="宋体" w:hAnsi="宋体" w:cs="宋体"/>
          <w:sz w:val="28"/>
          <w:szCs w:val="28"/>
          <w:lang w:val="en-US" w:eastAsia="zh-CN"/>
        </w:rPr>
        <w:t>承接查验、</w:t>
      </w:r>
      <w:r>
        <w:rPr>
          <w:rFonts w:hint="eastAsia" w:ascii="宋体" w:hAnsi="宋体" w:cs="宋体"/>
          <w:sz w:val="28"/>
          <w:szCs w:val="28"/>
        </w:rPr>
        <w:t>维护检查、应急维修保养及其他维护服务。</w:t>
      </w:r>
    </w:p>
    <w:p>
      <w:pPr>
        <w:ind w:firstLine="560" w:firstLineChars="200"/>
        <w:rPr>
          <w:rFonts w:hint="eastAsia" w:ascii="宋体" w:hAnsi="宋体" w:cs="宋体"/>
          <w:sz w:val="28"/>
          <w:szCs w:val="28"/>
          <w:highlight w:val="none"/>
        </w:rPr>
      </w:pPr>
      <w:r>
        <w:rPr>
          <w:rFonts w:hint="eastAsia" w:ascii="宋体" w:hAnsi="宋体" w:cs="宋体"/>
          <w:sz w:val="28"/>
          <w:szCs w:val="28"/>
          <w:lang w:val="en-US" w:eastAsia="zh-CN"/>
        </w:rPr>
        <w:t>4</w:t>
      </w:r>
      <w:r>
        <w:rPr>
          <w:rFonts w:hint="eastAsia" w:ascii="宋体" w:hAnsi="宋体" w:cs="宋体"/>
          <w:sz w:val="28"/>
          <w:szCs w:val="28"/>
        </w:rPr>
        <w:t>）管理服</w:t>
      </w:r>
      <w:r>
        <w:rPr>
          <w:rFonts w:hint="eastAsia" w:ascii="宋体" w:hAnsi="宋体" w:cs="宋体"/>
          <w:sz w:val="28"/>
          <w:szCs w:val="28"/>
          <w:highlight w:val="none"/>
        </w:rPr>
        <w:t>务：</w:t>
      </w:r>
      <w:r>
        <w:rPr>
          <w:rFonts w:hint="eastAsia" w:ascii="宋体" w:hAnsi="宋体" w:cs="宋体"/>
          <w:sz w:val="28"/>
          <w:szCs w:val="28"/>
          <w:highlight w:val="none"/>
          <w:lang w:val="en-US" w:eastAsia="zh-CN"/>
        </w:rPr>
        <w:t>游客中心管理服务、</w:t>
      </w:r>
      <w:r>
        <w:rPr>
          <w:rFonts w:hint="eastAsia" w:ascii="宋体" w:hAnsi="宋体" w:cs="宋体"/>
          <w:sz w:val="28"/>
          <w:szCs w:val="28"/>
          <w:highlight w:val="none"/>
        </w:rPr>
        <w:t>游乐设施管理服务、应急服务、消防管理、开园准备、</w:t>
      </w:r>
      <w:r>
        <w:rPr>
          <w:rFonts w:hint="eastAsia" w:ascii="宋体" w:hAnsi="宋体" w:cs="宋体"/>
          <w:sz w:val="28"/>
          <w:szCs w:val="28"/>
          <w:highlight w:val="none"/>
          <w:lang w:val="en-US" w:eastAsia="zh-CN"/>
        </w:rPr>
        <w:t>台账管理</w:t>
      </w:r>
      <w:r>
        <w:rPr>
          <w:rFonts w:hint="eastAsia" w:ascii="宋体" w:hAnsi="宋体" w:cs="宋体"/>
          <w:sz w:val="28"/>
          <w:szCs w:val="28"/>
          <w:highlight w:val="none"/>
        </w:rPr>
        <w:t>等管理服务。</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1207"/>
        <w:gridCol w:w="5695"/>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8" w:type="pct"/>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708" w:type="pct"/>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服务事项</w:t>
            </w:r>
          </w:p>
        </w:tc>
        <w:tc>
          <w:tcPr>
            <w:tcW w:w="3340" w:type="pct"/>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服务内容</w:t>
            </w:r>
          </w:p>
        </w:tc>
        <w:tc>
          <w:tcPr>
            <w:tcW w:w="662" w:type="pct"/>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28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0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游客中心</w:t>
            </w:r>
          </w:p>
        </w:tc>
        <w:tc>
          <w:tcPr>
            <w:tcW w:w="3340" w:type="pct"/>
            <w:noWrap w:val="0"/>
            <w:vAlign w:val="center"/>
          </w:tcPr>
          <w:p>
            <w:pPr>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定期进行清洁，包括地面、卫生间、淋浴房、更衣室、座椅、墙壁、天花板、门窗等部位。清洁频率应根据使用情况和人流量进行调整，一般应每天至少清洁一次。</w:t>
            </w:r>
          </w:p>
        </w:tc>
        <w:tc>
          <w:tcPr>
            <w:tcW w:w="662" w:type="pct"/>
            <w:noWrap w:val="0"/>
            <w:vAlign w:val="center"/>
          </w:tcPr>
          <w:p>
            <w:pPr>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公厕管理</w:t>
            </w:r>
          </w:p>
        </w:tc>
        <w:tc>
          <w:tcPr>
            <w:tcW w:w="334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按照《公共厕所保洁与服务规范》（DB3302T1081-2018）标准，包含保洁及设施维护，清洁用品，工具等。确保精细化保洁质量，促进长效常态管理。</w:t>
            </w:r>
          </w:p>
        </w:tc>
        <w:tc>
          <w:tcPr>
            <w:tcW w:w="662" w:type="pct"/>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0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深度保洁</w:t>
            </w:r>
          </w:p>
        </w:tc>
        <w:tc>
          <w:tcPr>
            <w:tcW w:w="334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按照“席地而坐”城市客厅示范区域要求，做好公园深度保洁工作，确保园内各项设施干净整洁、产生垃圾及时清理清运。</w:t>
            </w:r>
          </w:p>
        </w:tc>
        <w:tc>
          <w:tcPr>
            <w:tcW w:w="662" w:type="pct"/>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0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水体保洁</w:t>
            </w:r>
          </w:p>
        </w:tc>
        <w:tc>
          <w:tcPr>
            <w:tcW w:w="334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对公园水体进行保洁，确保公园水面无垃圾等漂浮物、水体无黑臭和无大面积蓝绿藻爆发情况。</w:t>
            </w:r>
          </w:p>
        </w:tc>
        <w:tc>
          <w:tcPr>
            <w:tcW w:w="662" w:type="pct"/>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0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日常保洁</w:t>
            </w:r>
          </w:p>
        </w:tc>
        <w:tc>
          <w:tcPr>
            <w:tcW w:w="334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地下室停车场日常保洁，确保地下室停车场内干净整洁、产生垃圾及时清理清运。</w:t>
            </w:r>
          </w:p>
        </w:tc>
        <w:tc>
          <w:tcPr>
            <w:tcW w:w="662" w:type="pct"/>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70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安全管理</w:t>
            </w:r>
          </w:p>
        </w:tc>
        <w:tc>
          <w:tcPr>
            <w:tcW w:w="334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维护公园内的正常秩序，保障公园内人员的人身和财产安全，确保公园设施及财产安全，做好安全生产、极端气候防范、消防、平安公园建设、应急管理、防疫等工作。</w:t>
            </w:r>
          </w:p>
        </w:tc>
        <w:tc>
          <w:tcPr>
            <w:tcW w:w="662" w:type="pct"/>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70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治安巡视</w:t>
            </w:r>
          </w:p>
        </w:tc>
        <w:tc>
          <w:tcPr>
            <w:tcW w:w="334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维护公园内的正常秩序，保障公园内人员的人身和财产安全，确保公园设施及财产安全，对园内绿化进行日常巡查及监督，配合采购人督促原施工单位做好维保期内公园新种绿化及保留绿化的管养工作。</w:t>
            </w:r>
          </w:p>
        </w:tc>
        <w:tc>
          <w:tcPr>
            <w:tcW w:w="662" w:type="pct"/>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70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安全生产物资</w:t>
            </w:r>
          </w:p>
        </w:tc>
        <w:tc>
          <w:tcPr>
            <w:tcW w:w="334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按需配置公园极端气候防范、消防、反恐防暴、防疫和应急储备等安全生产物资。</w:t>
            </w:r>
          </w:p>
        </w:tc>
        <w:tc>
          <w:tcPr>
            <w:tcW w:w="662"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由采购人按公园需求购置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70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公园主题活动秩序维护</w:t>
            </w:r>
          </w:p>
        </w:tc>
        <w:tc>
          <w:tcPr>
            <w:tcW w:w="334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应主办方公园开展主题活动日等要求，进行必要的秩序维护服务，预防踩踏、打斗等民事纠纷甚至刑事案件的情况发生。</w:t>
            </w:r>
          </w:p>
        </w:tc>
        <w:tc>
          <w:tcPr>
            <w:tcW w:w="662" w:type="pct"/>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70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其他秩序维护服务</w:t>
            </w:r>
          </w:p>
        </w:tc>
        <w:tc>
          <w:tcPr>
            <w:tcW w:w="334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维护公园内的正常秩序，保障公园内人员的人身和财产安全，确保公园设施及财产安全。</w:t>
            </w:r>
          </w:p>
        </w:tc>
        <w:tc>
          <w:tcPr>
            <w:tcW w:w="662" w:type="pct"/>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8" w:type="pct"/>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p>
        </w:tc>
        <w:tc>
          <w:tcPr>
            <w:tcW w:w="70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四害消杀</w:t>
            </w:r>
          </w:p>
        </w:tc>
        <w:tc>
          <w:tcPr>
            <w:tcW w:w="334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进行园内“四害”消杀，开展白蚁防治并及时上报公园主管部门，同时采取有效措施进行防控并巩固。</w:t>
            </w:r>
          </w:p>
        </w:tc>
        <w:tc>
          <w:tcPr>
            <w:tcW w:w="662" w:type="pct"/>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70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园内外来入侵物种防治</w:t>
            </w:r>
          </w:p>
        </w:tc>
        <w:tc>
          <w:tcPr>
            <w:tcW w:w="334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进行外来入侵物种的监测、观察、灭除等，并及时上报公园主管部门，同时采取有效措施进行防控并巩固。</w:t>
            </w:r>
          </w:p>
        </w:tc>
        <w:tc>
          <w:tcPr>
            <w:tcW w:w="662" w:type="pct"/>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70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游乐设施检查及维护</w:t>
            </w:r>
          </w:p>
        </w:tc>
        <w:tc>
          <w:tcPr>
            <w:tcW w:w="334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对游乐设施进行日检、周检、月检，确保游乐设施安全，开展隐患排查治理；应急处理各类故障。</w:t>
            </w:r>
          </w:p>
        </w:tc>
        <w:tc>
          <w:tcPr>
            <w:tcW w:w="662" w:type="pct"/>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70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园内设施设备维护维修管理</w:t>
            </w:r>
          </w:p>
        </w:tc>
        <w:tc>
          <w:tcPr>
            <w:tcW w:w="334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平日检查园路、广场、建构筑物、绿化设施（包括给排水）、视频监控、广播及网络、电梯等设施、设备情况，配合采购人督促原施工单位做好维保期内质保工作，必要时应急处理各类设施、设备维护。</w:t>
            </w:r>
          </w:p>
        </w:tc>
        <w:tc>
          <w:tcPr>
            <w:tcW w:w="662" w:type="pct"/>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70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应急服务</w:t>
            </w:r>
          </w:p>
        </w:tc>
        <w:tc>
          <w:tcPr>
            <w:tcW w:w="334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根据应急抢险工作预案、建立应急机制，组织一支由项目内执行团队组成的应急队伍不少于10人，遇到台风、暴雨等抢险救灾或机动应急事项时，无条件服从指挥并开展抢险救灾等工作</w:t>
            </w:r>
          </w:p>
        </w:tc>
        <w:tc>
          <w:tcPr>
            <w:tcW w:w="662" w:type="pct"/>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70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开园准备</w:t>
            </w:r>
          </w:p>
        </w:tc>
        <w:tc>
          <w:tcPr>
            <w:tcW w:w="334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根据消防管理规范要求进行管理；根据大型活动应急管理规范进行管理。</w:t>
            </w:r>
          </w:p>
        </w:tc>
        <w:tc>
          <w:tcPr>
            <w:tcW w:w="662" w:type="pct"/>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70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游乐设施管理服务</w:t>
            </w:r>
          </w:p>
        </w:tc>
        <w:tc>
          <w:tcPr>
            <w:tcW w:w="334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游乐场地秩序管理，游乐设施清洁、消毒消杀、应急处置等。</w:t>
            </w:r>
          </w:p>
        </w:tc>
        <w:tc>
          <w:tcPr>
            <w:tcW w:w="662" w:type="pct"/>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70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台账管理</w:t>
            </w:r>
          </w:p>
        </w:tc>
        <w:tc>
          <w:tcPr>
            <w:tcW w:w="334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必须建立日常管理规章制度，服务规范、设备操作规范及应急响应制度等，健全各种设备、设施的运行维护计划、记录及管理内容的基础档案。同时，配合建设方的档案移交工作。</w:t>
            </w:r>
          </w:p>
        </w:tc>
        <w:tc>
          <w:tcPr>
            <w:tcW w:w="662" w:type="pct"/>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70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停车场出入管理</w:t>
            </w:r>
          </w:p>
        </w:tc>
        <w:tc>
          <w:tcPr>
            <w:tcW w:w="334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确保停车场车辆停放规范，提供必要的车辆停放指引工作等停车场秩序维护管理工作。</w:t>
            </w:r>
          </w:p>
        </w:tc>
        <w:tc>
          <w:tcPr>
            <w:tcW w:w="662" w:type="pct"/>
            <w:noWrap w:val="0"/>
            <w:vAlign w:val="center"/>
          </w:tcPr>
          <w:p>
            <w:pPr>
              <w:spacing w:line="360" w:lineRule="auto"/>
              <w:rPr>
                <w:rFonts w:hint="eastAsia" w:asciiTheme="minorEastAsia" w:hAnsiTheme="minorEastAsia" w:eastAsiaTheme="minorEastAsia" w:cstheme="minorEastAsia"/>
                <w:sz w:val="21"/>
                <w:szCs w:val="21"/>
              </w:rPr>
            </w:pPr>
          </w:p>
        </w:tc>
      </w:tr>
    </w:tbl>
    <w:p>
      <w:pPr>
        <w:widowControl/>
        <w:spacing w:line="560" w:lineRule="exact"/>
        <w:outlineLvl w:val="2"/>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人员配置要求</w:t>
      </w:r>
    </w:p>
    <w:tbl>
      <w:tblPr>
        <w:tblStyle w:val="5"/>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43"/>
        <w:gridCol w:w="2085"/>
        <w:gridCol w:w="3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800" w:type="dxa"/>
            <w:noWrap w:val="0"/>
            <w:vAlign w:val="center"/>
          </w:tcPr>
          <w:p>
            <w:pPr>
              <w:spacing w:line="300" w:lineRule="exac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工种或岗位</w:t>
            </w:r>
          </w:p>
        </w:tc>
        <w:tc>
          <w:tcPr>
            <w:tcW w:w="843" w:type="dxa"/>
            <w:noWrap w:val="0"/>
            <w:vAlign w:val="center"/>
          </w:tcPr>
          <w:p>
            <w:pPr>
              <w:spacing w:line="300" w:lineRule="exac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所需</w:t>
            </w:r>
          </w:p>
          <w:p>
            <w:pPr>
              <w:spacing w:line="300" w:lineRule="exac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人数</w:t>
            </w:r>
          </w:p>
        </w:tc>
        <w:tc>
          <w:tcPr>
            <w:tcW w:w="2085" w:type="dxa"/>
            <w:noWrap w:val="0"/>
            <w:vAlign w:val="center"/>
          </w:tcPr>
          <w:p>
            <w:pPr>
              <w:spacing w:line="300" w:lineRule="exac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岗位要求</w:t>
            </w:r>
          </w:p>
        </w:tc>
        <w:tc>
          <w:tcPr>
            <w:tcW w:w="3977" w:type="dxa"/>
            <w:noWrap w:val="0"/>
            <w:vAlign w:val="center"/>
          </w:tcPr>
          <w:p>
            <w:pPr>
              <w:spacing w:line="300" w:lineRule="exact"/>
              <w:ind w:firstLine="247" w:firstLineChars="117"/>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备</w:t>
            </w:r>
            <w:r>
              <w:rPr>
                <w:rFonts w:hint="eastAsia" w:asciiTheme="minorEastAsia" w:hAnsiTheme="minorEastAsia" w:eastAsiaTheme="minorEastAsia" w:cstheme="minorEastAsia"/>
                <w:b/>
                <w:bCs/>
                <w:kern w:val="0"/>
                <w:sz w:val="21"/>
                <w:szCs w:val="21"/>
                <w:lang w:val="en-US" w:eastAsia="zh-CN"/>
              </w:rPr>
              <w:t xml:space="preserve">   </w:t>
            </w:r>
            <w:r>
              <w:rPr>
                <w:rFonts w:hint="eastAsia" w:asciiTheme="minorEastAsia" w:hAnsiTheme="minorEastAsia" w:eastAsiaTheme="minorEastAsia" w:cstheme="minorEastAsia"/>
                <w:b/>
                <w:bCs/>
                <w:kern w:val="0"/>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0" w:type="dxa"/>
            <w:noWrap w:val="0"/>
            <w:vAlign w:val="center"/>
          </w:tcPr>
          <w:p>
            <w:pPr>
              <w:spacing w:line="300" w:lineRule="exact"/>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项目主管（兼职）</w:t>
            </w:r>
          </w:p>
        </w:tc>
        <w:tc>
          <w:tcPr>
            <w:tcW w:w="843" w:type="dxa"/>
            <w:noWrap w:val="0"/>
            <w:vAlign w:val="center"/>
          </w:tcPr>
          <w:p>
            <w:pPr>
              <w:spacing w:line="30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2085" w:type="dxa"/>
            <w:noWrap w:val="0"/>
            <w:vAlign w:val="center"/>
          </w:tcPr>
          <w:p>
            <w:pPr>
              <w:spacing w:line="3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要求具有</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年以上物业管理经验</w:t>
            </w:r>
          </w:p>
        </w:tc>
        <w:tc>
          <w:tcPr>
            <w:tcW w:w="3977" w:type="dxa"/>
            <w:noWrap w:val="0"/>
            <w:vAlign w:val="center"/>
          </w:tcPr>
          <w:p>
            <w:pPr>
              <w:spacing w:line="300" w:lineRule="exact"/>
              <w:ind w:firstLine="245" w:firstLineChars="117"/>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全面负责本项目物业管理工作，组织协调各岗位工作，确保各岗位服务顺利开展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允许兼职。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00" w:type="dxa"/>
            <w:noWrap w:val="0"/>
            <w:vAlign w:val="center"/>
          </w:tcPr>
          <w:p>
            <w:pPr>
              <w:spacing w:line="30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工程维修人员（兼职）</w:t>
            </w:r>
          </w:p>
        </w:tc>
        <w:tc>
          <w:tcPr>
            <w:tcW w:w="843" w:type="dxa"/>
            <w:noWrap w:val="0"/>
            <w:vAlign w:val="center"/>
          </w:tcPr>
          <w:p>
            <w:pPr>
              <w:spacing w:line="30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2085" w:type="dxa"/>
            <w:noWrap w:val="0"/>
            <w:vAlign w:val="center"/>
          </w:tcPr>
          <w:p>
            <w:pPr>
              <w:spacing w:line="3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年以上工作经验，电工上岗证。</w:t>
            </w:r>
          </w:p>
        </w:tc>
        <w:tc>
          <w:tcPr>
            <w:tcW w:w="3977" w:type="dxa"/>
            <w:noWrap w:val="0"/>
            <w:vAlign w:val="center"/>
          </w:tcPr>
          <w:p>
            <w:pPr>
              <w:spacing w:line="300" w:lineRule="exact"/>
              <w:ind w:firstLine="245" w:firstLineChars="117"/>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负责给排水、照明</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设施的管理、维修、保养，确保水、电</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安全正常运行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巡查发现问题及时</w:t>
            </w:r>
            <w:r>
              <w:rPr>
                <w:rFonts w:hint="eastAsia" w:asciiTheme="minorEastAsia" w:hAnsiTheme="minorEastAsia" w:eastAsiaTheme="minorEastAsia" w:cstheme="minorEastAsia"/>
                <w:sz w:val="21"/>
                <w:szCs w:val="21"/>
                <w:lang w:eastAsia="zh-CN"/>
              </w:rPr>
              <w:t>处理或</w:t>
            </w:r>
            <w:r>
              <w:rPr>
                <w:rFonts w:hint="eastAsia" w:asciiTheme="minorEastAsia" w:hAnsiTheme="minorEastAsia" w:eastAsiaTheme="minorEastAsia" w:cstheme="minorEastAsia"/>
                <w:sz w:val="21"/>
                <w:szCs w:val="21"/>
              </w:rPr>
              <w:t>向</w:t>
            </w:r>
            <w:r>
              <w:rPr>
                <w:rFonts w:hint="eastAsia" w:asciiTheme="minorEastAsia" w:hAnsiTheme="minorEastAsia" w:eastAsiaTheme="minorEastAsia" w:cstheme="minorEastAsia"/>
                <w:sz w:val="21"/>
                <w:szCs w:val="21"/>
                <w:lang w:val="en-US" w:eastAsia="zh-CN"/>
              </w:rPr>
              <w:t>业主</w:t>
            </w:r>
            <w:r>
              <w:rPr>
                <w:rFonts w:hint="eastAsia" w:asciiTheme="minorEastAsia" w:hAnsiTheme="minorEastAsia" w:eastAsiaTheme="minorEastAsia" w:cstheme="minorEastAsia"/>
                <w:sz w:val="21"/>
                <w:szCs w:val="21"/>
              </w:rPr>
              <w:t>报告</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允许兼职。</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800" w:type="dxa"/>
            <w:noWrap w:val="0"/>
            <w:vAlign w:val="center"/>
          </w:tcPr>
          <w:p>
            <w:pPr>
              <w:spacing w:line="300" w:lineRule="exact"/>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秩序维护人员</w:t>
            </w:r>
          </w:p>
        </w:tc>
        <w:tc>
          <w:tcPr>
            <w:tcW w:w="843" w:type="dxa"/>
            <w:noWrap w:val="0"/>
            <w:vAlign w:val="center"/>
          </w:tcPr>
          <w:p>
            <w:pPr>
              <w:spacing w:line="30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2085" w:type="dxa"/>
            <w:noWrap w:val="0"/>
            <w:vAlign w:val="center"/>
          </w:tcPr>
          <w:p>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男性，</w:t>
            </w:r>
            <w:r>
              <w:rPr>
                <w:rFonts w:hint="eastAsia" w:asciiTheme="minorEastAsia" w:hAnsiTheme="minorEastAsia" w:eastAsiaTheme="minorEastAsia" w:cstheme="minorEastAsia"/>
                <w:sz w:val="21"/>
                <w:szCs w:val="21"/>
                <w:lang w:val="en-US" w:eastAsia="zh-CN"/>
              </w:rPr>
              <w:t>年龄60周岁以内，</w:t>
            </w:r>
            <w:r>
              <w:rPr>
                <w:rFonts w:hint="eastAsia" w:asciiTheme="minorEastAsia" w:hAnsiTheme="minorEastAsia" w:eastAsiaTheme="minorEastAsia" w:cstheme="minorEastAsia"/>
                <w:sz w:val="21"/>
                <w:szCs w:val="21"/>
              </w:rPr>
              <w:t>身体健康，形象良好。</w:t>
            </w:r>
          </w:p>
        </w:tc>
        <w:tc>
          <w:tcPr>
            <w:tcW w:w="3977" w:type="dxa"/>
            <w:noWrap w:val="0"/>
            <w:vAlign w:val="center"/>
          </w:tcPr>
          <w:p>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每班次人数不少于2人，</w:t>
            </w:r>
            <w:r>
              <w:rPr>
                <w:rFonts w:hint="eastAsia" w:asciiTheme="minorEastAsia" w:hAnsiTheme="minorEastAsia" w:eastAsiaTheme="minorEastAsia" w:cstheme="minorEastAsia"/>
                <w:sz w:val="21"/>
                <w:szCs w:val="21"/>
              </w:rPr>
              <w:t>保持</w:t>
            </w:r>
            <w:r>
              <w:rPr>
                <w:rFonts w:hint="eastAsia" w:asciiTheme="minorEastAsia" w:hAnsiTheme="minorEastAsia" w:eastAsiaTheme="minorEastAsia" w:cstheme="minorEastAsia"/>
                <w:sz w:val="21"/>
                <w:szCs w:val="21"/>
                <w:lang w:val="en-US" w:eastAsia="zh-CN"/>
              </w:rPr>
              <w:t>园区</w:t>
            </w:r>
            <w:r>
              <w:rPr>
                <w:rFonts w:hint="eastAsia" w:asciiTheme="minorEastAsia" w:hAnsiTheme="minorEastAsia" w:eastAsiaTheme="minorEastAsia" w:cstheme="minorEastAsia"/>
                <w:sz w:val="21"/>
                <w:szCs w:val="21"/>
              </w:rPr>
              <w:t>道路畅通，</w:t>
            </w:r>
            <w:r>
              <w:rPr>
                <w:rFonts w:hint="eastAsia" w:asciiTheme="minorEastAsia" w:hAnsiTheme="minorEastAsia" w:eastAsiaTheme="minorEastAsia" w:cstheme="minorEastAsia"/>
                <w:sz w:val="21"/>
                <w:szCs w:val="21"/>
                <w:lang w:eastAsia="zh-CN"/>
              </w:rPr>
              <w:t>人员、车</w:t>
            </w:r>
            <w:r>
              <w:rPr>
                <w:rFonts w:hint="eastAsia" w:asciiTheme="minorEastAsia" w:hAnsiTheme="minorEastAsia" w:eastAsiaTheme="minorEastAsia" w:cstheme="minorEastAsia"/>
                <w:sz w:val="21"/>
                <w:szCs w:val="21"/>
                <w:lang w:val="en-US" w:eastAsia="zh-CN"/>
              </w:rPr>
              <w:t>辆进出</w:t>
            </w:r>
            <w:r>
              <w:rPr>
                <w:rFonts w:hint="eastAsia" w:asciiTheme="minorEastAsia" w:hAnsiTheme="minorEastAsia" w:eastAsiaTheme="minorEastAsia" w:cstheme="minorEastAsia"/>
                <w:sz w:val="21"/>
                <w:szCs w:val="21"/>
              </w:rPr>
              <w:t>有序；</w:t>
            </w:r>
          </w:p>
          <w:p>
            <w:pPr>
              <w:spacing w:line="300" w:lineRule="exact"/>
              <w:ind w:firstLine="245" w:firstLineChars="11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检查与管理各项安全设施和公共照明；严格填写巡逻登记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发现设备故障或其它异常情况及时处理或报上级领导。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800" w:type="dxa"/>
            <w:noWrap w:val="0"/>
            <w:vAlign w:val="center"/>
          </w:tcPr>
          <w:p>
            <w:pPr>
              <w:spacing w:line="30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b w:val="0"/>
                <w:bCs w:val="0"/>
                <w:kern w:val="0"/>
                <w:sz w:val="21"/>
                <w:szCs w:val="21"/>
              </w:rPr>
              <w:t>保洁</w:t>
            </w:r>
            <w:r>
              <w:rPr>
                <w:rFonts w:hint="eastAsia" w:asciiTheme="minorEastAsia" w:hAnsiTheme="minorEastAsia" w:eastAsiaTheme="minorEastAsia" w:cstheme="minorEastAsia"/>
                <w:b w:val="0"/>
                <w:bCs w:val="0"/>
                <w:kern w:val="0"/>
                <w:sz w:val="21"/>
                <w:szCs w:val="21"/>
                <w:lang w:val="en-US" w:eastAsia="zh-CN"/>
              </w:rPr>
              <w:t>员</w:t>
            </w:r>
          </w:p>
        </w:tc>
        <w:tc>
          <w:tcPr>
            <w:tcW w:w="843" w:type="dxa"/>
            <w:noWrap w:val="0"/>
            <w:vAlign w:val="center"/>
          </w:tcPr>
          <w:p>
            <w:pPr>
              <w:spacing w:line="30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2085" w:type="dxa"/>
            <w:noWrap w:val="0"/>
            <w:vAlign w:val="center"/>
          </w:tcPr>
          <w:p>
            <w:pPr>
              <w:spacing w:line="300" w:lineRule="exac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身体健康，</w:t>
            </w:r>
            <w:r>
              <w:rPr>
                <w:rFonts w:hint="eastAsia" w:asciiTheme="minorEastAsia" w:hAnsiTheme="minorEastAsia" w:eastAsiaTheme="minorEastAsia" w:cstheme="minorEastAsia"/>
                <w:kern w:val="0"/>
                <w:sz w:val="21"/>
                <w:szCs w:val="21"/>
                <w:lang w:val="en-US" w:eastAsia="zh-CN"/>
              </w:rPr>
              <w:t>年龄60周岁以内，</w:t>
            </w:r>
            <w:r>
              <w:rPr>
                <w:rFonts w:hint="eastAsia" w:asciiTheme="minorEastAsia" w:hAnsiTheme="minorEastAsia" w:eastAsiaTheme="minorEastAsia" w:cstheme="minorEastAsia"/>
                <w:kern w:val="0"/>
                <w:sz w:val="21"/>
                <w:szCs w:val="21"/>
              </w:rPr>
              <w:t>无不良嗜好及不良记录</w:t>
            </w:r>
            <w:r>
              <w:rPr>
                <w:rFonts w:hint="eastAsia" w:asciiTheme="minorEastAsia" w:hAnsiTheme="minorEastAsia" w:eastAsiaTheme="minorEastAsia" w:cstheme="minorEastAsia"/>
                <w:kern w:val="0"/>
                <w:sz w:val="21"/>
                <w:szCs w:val="21"/>
                <w:lang w:eastAsia="zh-CN"/>
              </w:rPr>
              <w:t>。</w:t>
            </w:r>
          </w:p>
        </w:tc>
        <w:tc>
          <w:tcPr>
            <w:tcW w:w="3977" w:type="dxa"/>
            <w:noWrap w:val="0"/>
            <w:vAlign w:val="center"/>
          </w:tcPr>
          <w:p>
            <w:pPr>
              <w:spacing w:line="300" w:lineRule="exact"/>
              <w:ind w:firstLine="245" w:firstLineChars="117"/>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保洁工作：</w:t>
            </w:r>
            <w:r>
              <w:rPr>
                <w:rFonts w:hint="eastAsia" w:asciiTheme="minorEastAsia" w:hAnsiTheme="minorEastAsia" w:eastAsiaTheme="minorEastAsia" w:cstheme="minorEastAsia"/>
                <w:kern w:val="0"/>
                <w:sz w:val="21"/>
                <w:szCs w:val="21"/>
                <w:lang w:val="en-US" w:eastAsia="zh-CN"/>
              </w:rPr>
              <w:t>实行8小时上下午工作制，中间不间断动态保洁，</w:t>
            </w:r>
            <w:r>
              <w:rPr>
                <w:rFonts w:hint="eastAsia" w:asciiTheme="minorEastAsia" w:hAnsiTheme="minorEastAsia" w:eastAsiaTheme="minorEastAsia" w:cstheme="minorEastAsia"/>
                <w:sz w:val="21"/>
                <w:szCs w:val="21"/>
                <w:lang w:eastAsia="zh-CN"/>
              </w:rPr>
              <w:t>负责</w:t>
            </w:r>
            <w:r>
              <w:rPr>
                <w:rFonts w:hint="eastAsia" w:asciiTheme="minorEastAsia" w:hAnsiTheme="minorEastAsia" w:eastAsiaTheme="minorEastAsia" w:cstheme="minorEastAsia"/>
                <w:sz w:val="21"/>
                <w:szCs w:val="21"/>
                <w:lang w:val="en-US" w:eastAsia="zh-CN"/>
              </w:rPr>
              <w:t>园区内公共区域、游客服务中心</w:t>
            </w:r>
            <w:r>
              <w:rPr>
                <w:rFonts w:hint="eastAsia" w:asciiTheme="minorEastAsia" w:hAnsiTheme="minorEastAsia" w:eastAsiaTheme="minorEastAsia" w:cstheme="minorEastAsia"/>
                <w:sz w:val="21"/>
                <w:szCs w:val="21"/>
              </w:rPr>
              <w:t>的卫生保洁工作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705" w:type="dxa"/>
            <w:gridSpan w:val="4"/>
            <w:noWrap w:val="0"/>
            <w:vAlign w:val="center"/>
          </w:tcPr>
          <w:p>
            <w:pPr>
              <w:spacing w:line="300" w:lineRule="exact"/>
              <w:ind w:firstLine="247" w:firstLineChars="117"/>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合计：11人</w:t>
            </w:r>
          </w:p>
        </w:tc>
      </w:tr>
    </w:tbl>
    <w:p>
      <w:pPr>
        <w:pStyle w:val="3"/>
        <w:rPr>
          <w:rFonts w:hint="eastAsia" w:ascii="宋体" w:hAnsi="宋体" w:cs="宋体"/>
          <w:b/>
          <w:szCs w:val="21"/>
        </w:rPr>
      </w:pPr>
    </w:p>
    <w:p>
      <w:pPr>
        <w:keepNext w:val="0"/>
        <w:keepLines w:val="0"/>
        <w:pageBreakBefore w:val="0"/>
        <w:widowControl/>
        <w:kinsoku/>
        <w:wordWrap/>
        <w:overflowPunct/>
        <w:topLinePunct w:val="0"/>
        <w:autoSpaceDE/>
        <w:autoSpaceDN/>
        <w:bidi w:val="0"/>
        <w:adjustRightInd/>
        <w:snapToGrid/>
        <w:spacing w:line="300" w:lineRule="exact"/>
        <w:textAlignment w:val="auto"/>
        <w:outlineLvl w:val="2"/>
        <w:rPr>
          <w:rFonts w:hint="eastAsia" w:ascii="黑体" w:hAnsi="黑体" w:eastAsia="黑体" w:cs="黑体"/>
          <w:b w:val="0"/>
          <w:bCs/>
          <w:szCs w:val="21"/>
        </w:rPr>
      </w:pPr>
      <w:r>
        <w:rPr>
          <w:rFonts w:hint="eastAsia" w:ascii="黑体" w:hAnsi="黑体" w:eastAsia="黑体" w:cs="黑体"/>
          <w:b w:val="0"/>
          <w:bCs/>
          <w:szCs w:val="21"/>
          <w:lang w:val="en-US" w:eastAsia="zh-CN"/>
        </w:rPr>
        <w:t>四、</w:t>
      </w:r>
      <w:r>
        <w:rPr>
          <w:rFonts w:hint="eastAsia" w:ascii="黑体" w:hAnsi="黑体" w:eastAsia="黑体" w:cs="黑体"/>
          <w:b w:val="0"/>
          <w:bCs/>
          <w:szCs w:val="21"/>
        </w:rPr>
        <w:t>服务质量要求</w:t>
      </w:r>
    </w:p>
    <w:tbl>
      <w:tblPr>
        <w:tblStyle w:val="5"/>
        <w:tblW w:w="53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191"/>
        <w:gridCol w:w="4232"/>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54" w:type="pct"/>
            <w:gridSpan w:val="2"/>
            <w:noWrap w:val="0"/>
            <w:vAlign w:val="center"/>
          </w:tcPr>
          <w:p>
            <w:pPr>
              <w:widowControl/>
              <w:autoSpaceDE w:val="0"/>
              <w:autoSpaceDN w:val="0"/>
              <w:spacing w:before="120" w:beforeLines="50" w:line="360" w:lineRule="auto"/>
              <w:jc w:val="center"/>
              <w:textAlignment w:val="bottom"/>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类别</w:t>
            </w:r>
          </w:p>
        </w:tc>
        <w:tc>
          <w:tcPr>
            <w:tcW w:w="2323" w:type="pct"/>
            <w:noWrap w:val="0"/>
            <w:vAlign w:val="top"/>
          </w:tcPr>
          <w:p>
            <w:pPr>
              <w:widowControl/>
              <w:autoSpaceDE w:val="0"/>
              <w:autoSpaceDN w:val="0"/>
              <w:spacing w:before="120" w:beforeLines="50" w:line="360" w:lineRule="auto"/>
              <w:jc w:val="center"/>
              <w:textAlignment w:val="bottom"/>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管理服务要求</w:t>
            </w:r>
          </w:p>
        </w:tc>
        <w:tc>
          <w:tcPr>
            <w:tcW w:w="1721" w:type="pct"/>
            <w:noWrap w:val="0"/>
            <w:vAlign w:val="top"/>
          </w:tcPr>
          <w:p>
            <w:pPr>
              <w:widowControl/>
              <w:autoSpaceDE w:val="0"/>
              <w:autoSpaceDN w:val="0"/>
              <w:spacing w:before="120" w:beforeLines="50" w:line="360" w:lineRule="auto"/>
              <w:jc w:val="center"/>
              <w:textAlignment w:val="bottom"/>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0" w:type="pct"/>
            <w:vMerge w:val="restart"/>
            <w:noWrap w:val="0"/>
            <w:vAlign w:val="center"/>
          </w:tcPr>
          <w:p>
            <w:pPr>
              <w:widowControl/>
              <w:autoSpaceDE w:val="0"/>
              <w:autoSpaceDN w:val="0"/>
              <w:spacing w:line="360" w:lineRule="auto"/>
              <w:jc w:val="center"/>
              <w:textAlignment w:val="bottom"/>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公园深度保洁</w:t>
            </w:r>
          </w:p>
        </w:tc>
        <w:tc>
          <w:tcPr>
            <w:tcW w:w="654" w:type="pct"/>
            <w:noWrap w:val="0"/>
            <w:vAlign w:val="center"/>
          </w:tcPr>
          <w:p>
            <w:pPr>
              <w:widowControl/>
              <w:autoSpaceDE w:val="0"/>
              <w:autoSpaceDN w:val="0"/>
              <w:spacing w:line="360" w:lineRule="auto"/>
              <w:jc w:val="center"/>
              <w:textAlignment w:val="bottom"/>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城市家具</w:t>
            </w:r>
          </w:p>
        </w:tc>
        <w:tc>
          <w:tcPr>
            <w:tcW w:w="2323"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每日循环擦拭园椅、石凳（花坛边缘）；每日2次擦拭果壳箱箱体；早晚各1次清理果壳箱垃圾；每日1次擦拭指示牌、配电箱每日1次擦拭不锈钢、木质栏杆；每日1次擦拭雕塑小品。</w:t>
            </w:r>
          </w:p>
        </w:tc>
        <w:tc>
          <w:tcPr>
            <w:tcW w:w="1721"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无明显灰尘和污渍，手摸无污迹感，凳上积水及时清理干净，无蜘蛛网等，作业时间内</w:t>
            </w:r>
            <w:r>
              <w:rPr>
                <w:rFonts w:hint="eastAsia" w:asciiTheme="minorEastAsia" w:hAnsiTheme="minorEastAsia" w:eastAsiaTheme="minorEastAsia" w:cstheme="minorEastAsia"/>
                <w:color w:val="auto"/>
                <w:kern w:val="0"/>
                <w:sz w:val="21"/>
                <w:szCs w:val="21"/>
                <w:highlight w:val="none"/>
                <w:lang w:bidi="ar"/>
              </w:rPr>
              <w:t>垃圾停留时间不超过</w:t>
            </w:r>
            <w:r>
              <w:rPr>
                <w:rFonts w:hint="eastAsia" w:asciiTheme="minorEastAsia" w:hAnsiTheme="minorEastAsia" w:eastAsiaTheme="minorEastAsia" w:cstheme="minorEastAsia"/>
                <w:color w:val="auto"/>
                <w:kern w:val="0"/>
                <w:sz w:val="21"/>
                <w:szCs w:val="21"/>
                <w:highlight w:val="none"/>
                <w:lang w:val="en-US" w:eastAsia="zh-CN" w:bidi="ar"/>
              </w:rPr>
              <w:t>60</w:t>
            </w:r>
            <w:r>
              <w:rPr>
                <w:rFonts w:hint="eastAsia" w:asciiTheme="minorEastAsia" w:hAnsiTheme="minorEastAsia" w:eastAsiaTheme="minorEastAsia" w:cstheme="minorEastAsia"/>
                <w:color w:val="auto"/>
                <w:kern w:val="0"/>
                <w:sz w:val="21"/>
                <w:szCs w:val="21"/>
                <w:highlight w:val="none"/>
                <w:lang w:bidi="ar"/>
              </w:rPr>
              <w:t xml:space="preserve">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00" w:type="pct"/>
            <w:vMerge w:val="continue"/>
            <w:noWrap w:val="0"/>
            <w:vAlign w:val="center"/>
          </w:tcPr>
          <w:p>
            <w:pPr>
              <w:widowControl/>
              <w:autoSpaceDE w:val="0"/>
              <w:autoSpaceDN w:val="0"/>
              <w:spacing w:line="360" w:lineRule="auto"/>
              <w:jc w:val="center"/>
              <w:textAlignment w:val="bottom"/>
              <w:rPr>
                <w:rFonts w:hint="eastAsia" w:asciiTheme="minorEastAsia" w:hAnsiTheme="minorEastAsia" w:eastAsiaTheme="minorEastAsia" w:cstheme="minorEastAsia"/>
                <w:b/>
                <w:bCs/>
                <w:color w:val="auto"/>
                <w:sz w:val="21"/>
                <w:szCs w:val="21"/>
                <w:highlight w:val="none"/>
              </w:rPr>
            </w:pPr>
          </w:p>
        </w:tc>
        <w:tc>
          <w:tcPr>
            <w:tcW w:w="654" w:type="pct"/>
            <w:noWrap w:val="0"/>
            <w:vAlign w:val="center"/>
          </w:tcPr>
          <w:p>
            <w:pPr>
              <w:widowControl/>
              <w:autoSpaceDE w:val="0"/>
              <w:autoSpaceDN w:val="0"/>
              <w:spacing w:line="360" w:lineRule="auto"/>
              <w:jc w:val="center"/>
              <w:textAlignment w:val="bottom"/>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游乐设施</w:t>
            </w:r>
          </w:p>
        </w:tc>
        <w:tc>
          <w:tcPr>
            <w:tcW w:w="2323"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每日</w:t>
            </w:r>
            <w:r>
              <w:rPr>
                <w:rFonts w:hint="eastAsia" w:asciiTheme="minorEastAsia" w:hAnsiTheme="minorEastAsia" w:eastAsiaTheme="minorEastAsia" w:cstheme="minorEastAsia"/>
                <w:color w:val="auto"/>
                <w:sz w:val="21"/>
                <w:szCs w:val="21"/>
                <w:highlight w:val="none"/>
                <w:lang w:val="en-US" w:eastAsia="zh-CN"/>
              </w:rPr>
              <w:t>园区</w:t>
            </w:r>
            <w:r>
              <w:rPr>
                <w:rFonts w:hint="eastAsia" w:asciiTheme="minorEastAsia" w:hAnsiTheme="minorEastAsia" w:eastAsiaTheme="minorEastAsia" w:cstheme="minorEastAsia"/>
                <w:color w:val="auto"/>
                <w:sz w:val="21"/>
                <w:szCs w:val="21"/>
                <w:highlight w:val="none"/>
              </w:rPr>
              <w:t>开放前完成游乐设施的全面清理1次，每日</w:t>
            </w:r>
            <w:r>
              <w:rPr>
                <w:rFonts w:hint="eastAsia" w:asciiTheme="minorEastAsia" w:hAnsiTheme="minorEastAsia" w:eastAsiaTheme="minorEastAsia" w:cstheme="minorEastAsia"/>
                <w:color w:val="auto"/>
                <w:sz w:val="21"/>
                <w:szCs w:val="21"/>
                <w:highlight w:val="none"/>
                <w:lang w:val="en-US" w:eastAsia="zh-CN"/>
              </w:rPr>
              <w:t>园区</w:t>
            </w:r>
            <w:r>
              <w:rPr>
                <w:rFonts w:hint="eastAsia" w:asciiTheme="minorEastAsia" w:hAnsiTheme="minorEastAsia" w:eastAsiaTheme="minorEastAsia" w:cstheme="minorEastAsia"/>
                <w:color w:val="auto"/>
                <w:sz w:val="21"/>
                <w:szCs w:val="21"/>
                <w:highlight w:val="none"/>
              </w:rPr>
              <w:t>关闭后清理垃圾1次。</w:t>
            </w:r>
          </w:p>
        </w:tc>
        <w:tc>
          <w:tcPr>
            <w:tcW w:w="1721"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无明显灰尘和污渍，手摸无污迹感，积水及时清理干净，无蜘蛛网等，作业时间内</w:t>
            </w:r>
            <w:r>
              <w:rPr>
                <w:rFonts w:hint="eastAsia" w:asciiTheme="minorEastAsia" w:hAnsiTheme="minorEastAsia" w:eastAsiaTheme="minorEastAsia" w:cstheme="minorEastAsia"/>
                <w:color w:val="auto"/>
                <w:kern w:val="0"/>
                <w:sz w:val="21"/>
                <w:szCs w:val="21"/>
                <w:highlight w:val="none"/>
                <w:lang w:bidi="ar"/>
              </w:rPr>
              <w:t xml:space="preserve">垃圾停留时间不超过 </w:t>
            </w:r>
            <w:r>
              <w:rPr>
                <w:rFonts w:hint="eastAsia" w:asciiTheme="minorEastAsia" w:hAnsiTheme="minorEastAsia" w:eastAsiaTheme="minorEastAsia" w:cstheme="minorEastAsia"/>
                <w:color w:val="auto"/>
                <w:kern w:val="0"/>
                <w:sz w:val="21"/>
                <w:szCs w:val="21"/>
                <w:highlight w:val="none"/>
                <w:lang w:val="en-US" w:eastAsia="zh-CN" w:bidi="ar"/>
              </w:rPr>
              <w:t>60</w:t>
            </w:r>
            <w:r>
              <w:rPr>
                <w:rFonts w:hint="eastAsia" w:asciiTheme="minorEastAsia" w:hAnsiTheme="minorEastAsia" w:eastAsiaTheme="minorEastAsia" w:cstheme="minorEastAsia"/>
                <w:color w:val="auto"/>
                <w:kern w:val="0"/>
                <w:sz w:val="21"/>
                <w:szCs w:val="21"/>
                <w:highlight w:val="none"/>
                <w:lang w:bidi="ar"/>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00" w:type="pct"/>
            <w:vMerge w:val="continue"/>
            <w:noWrap w:val="0"/>
            <w:vAlign w:val="center"/>
          </w:tcPr>
          <w:p>
            <w:pPr>
              <w:widowControl/>
              <w:autoSpaceDE w:val="0"/>
              <w:autoSpaceDN w:val="0"/>
              <w:spacing w:line="360" w:lineRule="auto"/>
              <w:jc w:val="center"/>
              <w:textAlignment w:val="bottom"/>
              <w:rPr>
                <w:rFonts w:hint="eastAsia" w:asciiTheme="minorEastAsia" w:hAnsiTheme="minorEastAsia" w:eastAsiaTheme="minorEastAsia" w:cstheme="minorEastAsia"/>
                <w:b/>
                <w:bCs/>
                <w:color w:val="auto"/>
                <w:sz w:val="21"/>
                <w:szCs w:val="21"/>
                <w:highlight w:val="none"/>
              </w:rPr>
            </w:pPr>
          </w:p>
        </w:tc>
        <w:tc>
          <w:tcPr>
            <w:tcW w:w="654" w:type="pct"/>
            <w:noWrap w:val="0"/>
            <w:vAlign w:val="center"/>
          </w:tcPr>
          <w:p>
            <w:pPr>
              <w:widowControl/>
              <w:autoSpaceDE w:val="0"/>
              <w:autoSpaceDN w:val="0"/>
              <w:spacing w:line="360" w:lineRule="auto"/>
              <w:jc w:val="center"/>
              <w:textAlignment w:val="bottom"/>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铺装路面</w:t>
            </w:r>
          </w:p>
        </w:tc>
        <w:tc>
          <w:tcPr>
            <w:tcW w:w="2323" w:type="pct"/>
            <w:noWrap w:val="0"/>
            <w:vAlign w:val="top"/>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每日</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点前全面清扫园路、铺装可见垃圾，</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点后人工巡检；每日主园路、广场铺装循环清扫；每</w:t>
            </w:r>
            <w:r>
              <w:rPr>
                <w:rFonts w:hint="eastAsia" w:asciiTheme="minorEastAsia" w:hAnsiTheme="minorEastAsia" w:eastAsiaTheme="minorEastAsia" w:cstheme="minorEastAsia"/>
                <w:color w:val="auto"/>
                <w:sz w:val="21"/>
                <w:szCs w:val="21"/>
                <w:highlight w:val="none"/>
                <w:lang w:val="en-US" w:eastAsia="zh-CN"/>
              </w:rPr>
              <w:t>月</w:t>
            </w:r>
            <w:r>
              <w:rPr>
                <w:rFonts w:hint="eastAsia" w:asciiTheme="minorEastAsia" w:hAnsiTheme="minorEastAsia" w:eastAsiaTheme="minorEastAsia" w:cstheme="minorEastAsia"/>
                <w:color w:val="auto"/>
                <w:sz w:val="21"/>
                <w:szCs w:val="21"/>
                <w:highlight w:val="none"/>
              </w:rPr>
              <w:t>1次冲洗园内主要铺装广场；每月1次深度清洗铺装园路</w:t>
            </w:r>
            <w:r>
              <w:rPr>
                <w:rFonts w:hint="eastAsia" w:asciiTheme="minorEastAsia" w:hAnsiTheme="minorEastAsia" w:eastAsiaTheme="minorEastAsia" w:cstheme="minorEastAsia"/>
                <w:color w:val="auto"/>
                <w:sz w:val="21"/>
                <w:szCs w:val="21"/>
                <w:highlight w:val="none"/>
              </w:rPr>
              <w:tab/>
            </w:r>
          </w:p>
        </w:tc>
        <w:tc>
          <w:tcPr>
            <w:tcW w:w="1721"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铺装见本色，地面无污渍、无垃圾、无积泥、无青苔，接缝无杂草，作业时间内</w:t>
            </w:r>
            <w:r>
              <w:rPr>
                <w:rFonts w:hint="eastAsia" w:asciiTheme="minorEastAsia" w:hAnsiTheme="minorEastAsia" w:eastAsiaTheme="minorEastAsia" w:cstheme="minorEastAsia"/>
                <w:color w:val="auto"/>
                <w:kern w:val="0"/>
                <w:sz w:val="21"/>
                <w:szCs w:val="21"/>
                <w:highlight w:val="none"/>
                <w:lang w:bidi="ar"/>
              </w:rPr>
              <w:t>垃圾停留时间不超过</w:t>
            </w:r>
            <w:r>
              <w:rPr>
                <w:rFonts w:hint="eastAsia" w:asciiTheme="minorEastAsia" w:hAnsiTheme="minorEastAsia" w:eastAsiaTheme="minorEastAsia" w:cstheme="minorEastAsia"/>
                <w:color w:val="auto"/>
                <w:kern w:val="0"/>
                <w:sz w:val="21"/>
                <w:szCs w:val="21"/>
                <w:highlight w:val="none"/>
                <w:lang w:val="en-US" w:eastAsia="zh-CN" w:bidi="ar"/>
              </w:rPr>
              <w:t>60</w:t>
            </w:r>
            <w:r>
              <w:rPr>
                <w:rFonts w:hint="eastAsia" w:asciiTheme="minorEastAsia" w:hAnsiTheme="minorEastAsia" w:eastAsiaTheme="minorEastAsia" w:cstheme="minorEastAsia"/>
                <w:color w:val="auto"/>
                <w:kern w:val="0"/>
                <w:sz w:val="21"/>
                <w:szCs w:val="21"/>
                <w:highlight w:val="none"/>
                <w:lang w:bidi="ar"/>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00" w:type="pct"/>
            <w:vMerge w:val="continue"/>
            <w:noWrap w:val="0"/>
            <w:vAlign w:val="center"/>
          </w:tcPr>
          <w:p>
            <w:pPr>
              <w:widowControl/>
              <w:autoSpaceDE w:val="0"/>
              <w:autoSpaceDN w:val="0"/>
              <w:spacing w:line="360" w:lineRule="auto"/>
              <w:jc w:val="center"/>
              <w:textAlignment w:val="bottom"/>
              <w:rPr>
                <w:rFonts w:hint="eastAsia" w:asciiTheme="minorEastAsia" w:hAnsiTheme="minorEastAsia" w:eastAsiaTheme="minorEastAsia" w:cstheme="minorEastAsia"/>
                <w:b/>
                <w:bCs/>
                <w:color w:val="auto"/>
                <w:sz w:val="21"/>
                <w:szCs w:val="21"/>
                <w:highlight w:val="none"/>
              </w:rPr>
            </w:pPr>
          </w:p>
        </w:tc>
        <w:tc>
          <w:tcPr>
            <w:tcW w:w="654" w:type="pct"/>
            <w:noWrap w:val="0"/>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建构筑物</w:t>
            </w:r>
          </w:p>
        </w:tc>
        <w:tc>
          <w:tcPr>
            <w:tcW w:w="2323" w:type="pct"/>
            <w:noWrap w:val="0"/>
            <w:vAlign w:val="top"/>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w:t>
            </w:r>
            <w:r>
              <w:rPr>
                <w:rFonts w:hint="eastAsia" w:asciiTheme="minorEastAsia" w:hAnsiTheme="minorEastAsia" w:eastAsiaTheme="minorEastAsia" w:cstheme="minorEastAsia"/>
                <w:color w:val="auto"/>
                <w:sz w:val="21"/>
                <w:szCs w:val="21"/>
                <w:highlight w:val="none"/>
                <w:lang w:val="en-US" w:eastAsia="zh-CN"/>
              </w:rPr>
              <w:t>周</w:t>
            </w:r>
            <w:r>
              <w:rPr>
                <w:rFonts w:hint="eastAsia" w:asciiTheme="minorEastAsia" w:hAnsiTheme="minorEastAsia" w:eastAsiaTheme="minorEastAsia" w:cstheme="minorEastAsia"/>
                <w:color w:val="auto"/>
                <w:sz w:val="21"/>
                <w:szCs w:val="21"/>
                <w:highlight w:val="none"/>
              </w:rPr>
              <w:t>1次清理蜘蛛网；每月1次冲洗青石栏杆；每周1次清洁亭、廊、立柱；每月1次清洁玻璃。</w:t>
            </w:r>
          </w:p>
        </w:tc>
        <w:tc>
          <w:tcPr>
            <w:tcW w:w="1721" w:type="pct"/>
            <w:noWrap w:val="0"/>
            <w:vAlign w:val="top"/>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无蜘蛛网、无积尘、无青苔、无污色，石材见本色，作业时间内</w:t>
            </w:r>
            <w:r>
              <w:rPr>
                <w:rFonts w:hint="eastAsia" w:asciiTheme="minorEastAsia" w:hAnsiTheme="minorEastAsia" w:eastAsiaTheme="minorEastAsia" w:cstheme="minorEastAsia"/>
                <w:color w:val="auto"/>
                <w:kern w:val="0"/>
                <w:sz w:val="21"/>
                <w:szCs w:val="21"/>
                <w:highlight w:val="none"/>
                <w:lang w:bidi="ar"/>
              </w:rPr>
              <w:t>垃圾停留时间不超过</w:t>
            </w:r>
            <w:r>
              <w:rPr>
                <w:rFonts w:hint="eastAsia" w:asciiTheme="minorEastAsia" w:hAnsiTheme="minorEastAsia" w:eastAsiaTheme="minorEastAsia" w:cstheme="minorEastAsia"/>
                <w:color w:val="auto"/>
                <w:kern w:val="0"/>
                <w:sz w:val="21"/>
                <w:szCs w:val="21"/>
                <w:highlight w:val="none"/>
                <w:lang w:val="en-US" w:eastAsia="zh-CN" w:bidi="ar"/>
              </w:rPr>
              <w:t>60</w:t>
            </w:r>
            <w:r>
              <w:rPr>
                <w:rFonts w:hint="eastAsia" w:asciiTheme="minorEastAsia" w:hAnsiTheme="minorEastAsia" w:eastAsiaTheme="minorEastAsia" w:cstheme="minorEastAsia"/>
                <w:color w:val="auto"/>
                <w:kern w:val="0"/>
                <w:sz w:val="21"/>
                <w:szCs w:val="21"/>
                <w:highlight w:val="none"/>
                <w:lang w:bidi="ar"/>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300" w:type="pct"/>
            <w:vMerge w:val="continue"/>
            <w:noWrap w:val="0"/>
            <w:vAlign w:val="center"/>
          </w:tcPr>
          <w:p>
            <w:pPr>
              <w:widowControl/>
              <w:autoSpaceDE w:val="0"/>
              <w:autoSpaceDN w:val="0"/>
              <w:spacing w:line="360" w:lineRule="auto"/>
              <w:jc w:val="center"/>
              <w:textAlignment w:val="bottom"/>
              <w:rPr>
                <w:rFonts w:hint="eastAsia" w:asciiTheme="minorEastAsia" w:hAnsiTheme="minorEastAsia" w:eastAsiaTheme="minorEastAsia" w:cstheme="minorEastAsia"/>
                <w:b/>
                <w:bCs/>
                <w:color w:val="auto"/>
                <w:sz w:val="21"/>
                <w:szCs w:val="21"/>
                <w:highlight w:val="none"/>
              </w:rPr>
            </w:pPr>
          </w:p>
        </w:tc>
        <w:tc>
          <w:tcPr>
            <w:tcW w:w="654" w:type="pct"/>
            <w:noWrap w:val="0"/>
            <w:vAlign w:val="center"/>
          </w:tcPr>
          <w:p>
            <w:pPr>
              <w:autoSpaceDE w:val="0"/>
              <w:autoSpaceDN w:val="0"/>
              <w:spacing w:line="360" w:lineRule="auto"/>
              <w:jc w:val="center"/>
              <w:textAlignment w:val="bottom"/>
              <w:rPr>
                <w:rFonts w:hint="eastAsia" w:asciiTheme="minorEastAsia" w:hAnsiTheme="minorEastAsia" w:eastAsiaTheme="minorEastAsia" w:cstheme="minorEastAsia"/>
                <w:b/>
                <w:bCs/>
                <w:strike/>
                <w:color w:val="auto"/>
                <w:sz w:val="21"/>
                <w:szCs w:val="21"/>
                <w:highlight w:val="none"/>
              </w:rPr>
            </w:pPr>
            <w:r>
              <w:rPr>
                <w:rFonts w:hint="eastAsia" w:asciiTheme="minorEastAsia" w:hAnsiTheme="minorEastAsia" w:eastAsiaTheme="minorEastAsia" w:cstheme="minorEastAsia"/>
                <w:b/>
                <w:bCs/>
                <w:color w:val="auto"/>
                <w:sz w:val="21"/>
                <w:szCs w:val="21"/>
                <w:highlight w:val="none"/>
              </w:rPr>
              <w:t>垃圾分类及清运</w:t>
            </w:r>
          </w:p>
        </w:tc>
        <w:tc>
          <w:tcPr>
            <w:tcW w:w="2323" w:type="pct"/>
            <w:noWrap w:val="0"/>
            <w:vAlign w:val="center"/>
          </w:tcPr>
          <w:p>
            <w:pPr>
              <w:rPr>
                <w:rFonts w:hint="eastAsia" w:asciiTheme="minorEastAsia" w:hAnsiTheme="minorEastAsia" w:eastAsiaTheme="minorEastAsia" w:cstheme="minorEastAsia"/>
                <w:strike/>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对公园产生的垃圾进行分类减量处理，尽可能循环利用，错峰时间作业进行垃圾归集和运输，确保园内每日8:00-18:00无垃圾堆放，不得在绿地及路旁遗留垃圾。由于台风、暴雨等不可抗力因素无条件增加垃圾清运任务。垃圾清运要求实行日产日清； </w:t>
            </w:r>
            <w:r>
              <w:rPr>
                <w:rFonts w:hint="eastAsia" w:asciiTheme="minorEastAsia" w:hAnsiTheme="minorEastAsia" w:eastAsiaTheme="minorEastAsia" w:cstheme="minorEastAsia"/>
                <w:color w:val="auto"/>
                <w:sz w:val="21"/>
                <w:szCs w:val="21"/>
                <w:highlight w:val="none"/>
                <w:lang w:val="en-US" w:eastAsia="zh-CN"/>
              </w:rPr>
              <w:t>清洁工具</w:t>
            </w:r>
            <w:r>
              <w:rPr>
                <w:rFonts w:hint="eastAsia" w:asciiTheme="minorEastAsia" w:hAnsiTheme="minorEastAsia" w:eastAsiaTheme="minorEastAsia" w:cstheme="minorEastAsia"/>
                <w:color w:val="auto"/>
                <w:sz w:val="21"/>
                <w:szCs w:val="21"/>
                <w:highlight w:val="none"/>
              </w:rPr>
              <w:t>严禁停放在草坪、地被植物上。</w:t>
            </w:r>
          </w:p>
        </w:tc>
        <w:tc>
          <w:tcPr>
            <w:tcW w:w="1721" w:type="pct"/>
            <w:noWrap w:val="0"/>
            <w:vAlign w:val="top"/>
          </w:tcPr>
          <w:p>
            <w:pPr>
              <w:rPr>
                <w:rFonts w:hint="eastAsia" w:asciiTheme="minorEastAsia" w:hAnsiTheme="minorEastAsia" w:eastAsiaTheme="minorEastAsia" w:cstheme="minorEastAsia"/>
                <w:strike/>
                <w:color w:val="auto"/>
                <w:sz w:val="21"/>
                <w:szCs w:val="21"/>
                <w:highlight w:val="none"/>
              </w:rPr>
            </w:pPr>
            <w:r>
              <w:rPr>
                <w:rFonts w:hint="eastAsia" w:asciiTheme="minorEastAsia" w:hAnsiTheme="minorEastAsia" w:eastAsiaTheme="minorEastAsia" w:cstheme="minorEastAsia"/>
                <w:color w:val="auto"/>
                <w:sz w:val="21"/>
                <w:szCs w:val="21"/>
                <w:highlight w:val="none"/>
              </w:rPr>
              <w:t>确保垃圾收集设施清洁、正常，规范安全使用，垃圾车运输无滴漏撒情况，无污迹，车外无吊挂杂物，车辆无破损；垃圾车、保洁作业车定点停放规范，无乱停放现象。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pct"/>
            <w:gridSpan w:val="2"/>
            <w:noWrap w:val="0"/>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游客中心</w:t>
            </w:r>
          </w:p>
        </w:tc>
        <w:tc>
          <w:tcPr>
            <w:tcW w:w="2323" w:type="pct"/>
            <w:noWrap w:val="0"/>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定期进行清洁，包括地面、卫生间墙壁、天花板、门窗等部位。清洁频率应根据使用情况进行调整，一般应每天至少清洁一次。</w:t>
            </w:r>
          </w:p>
        </w:tc>
        <w:tc>
          <w:tcPr>
            <w:tcW w:w="1721" w:type="pct"/>
            <w:noWrap w:val="0"/>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游客中心</w:t>
            </w:r>
            <w:r>
              <w:rPr>
                <w:rFonts w:hint="eastAsia" w:asciiTheme="minorEastAsia" w:hAnsiTheme="minorEastAsia" w:eastAsiaTheme="minorEastAsia" w:cstheme="minorEastAsia"/>
                <w:color w:val="auto"/>
                <w:kern w:val="0"/>
                <w:sz w:val="21"/>
                <w:szCs w:val="21"/>
                <w:highlight w:val="none"/>
                <w:lang w:bidi="ar"/>
              </w:rPr>
              <w:t>地面应该保持干燥、清洁和平整，防止滑倒和摔倒事故的发生。</w:t>
            </w:r>
            <w:r>
              <w:rPr>
                <w:rFonts w:hint="eastAsia" w:asciiTheme="minorEastAsia" w:hAnsiTheme="minorEastAsia" w:eastAsiaTheme="minorEastAsia" w:cstheme="minorEastAsia"/>
                <w:color w:val="auto"/>
                <w:kern w:val="0"/>
                <w:sz w:val="21"/>
                <w:szCs w:val="21"/>
                <w:highlight w:val="none"/>
                <w:lang w:val="en-US" w:eastAsia="zh-CN" w:bidi="ar"/>
              </w:rPr>
              <w:t>游客中心</w:t>
            </w:r>
            <w:r>
              <w:rPr>
                <w:rFonts w:hint="eastAsia" w:asciiTheme="minorEastAsia" w:hAnsiTheme="minorEastAsia" w:eastAsiaTheme="minorEastAsia" w:cstheme="minorEastAsia"/>
                <w:color w:val="auto"/>
                <w:kern w:val="0"/>
                <w:sz w:val="21"/>
                <w:szCs w:val="21"/>
                <w:highlight w:val="none"/>
                <w:lang w:bidi="ar"/>
              </w:rPr>
              <w:t>垃圾应该及时清理，防止垃圾滞留和异味的产生。</w:t>
            </w:r>
            <w:r>
              <w:rPr>
                <w:rFonts w:hint="eastAsia" w:asciiTheme="minorEastAsia" w:hAnsiTheme="minorEastAsia" w:eastAsiaTheme="minorEastAsia" w:cstheme="minorEastAsia"/>
                <w:color w:val="auto"/>
                <w:kern w:val="0"/>
                <w:sz w:val="21"/>
                <w:szCs w:val="21"/>
                <w:highlight w:val="none"/>
                <w:lang w:val="en-US" w:eastAsia="zh-CN" w:bidi="ar"/>
              </w:rPr>
              <w:t>游客中心卫生间</w:t>
            </w:r>
            <w:r>
              <w:rPr>
                <w:rFonts w:hint="eastAsia" w:asciiTheme="minorEastAsia" w:hAnsiTheme="minorEastAsia" w:eastAsiaTheme="minorEastAsia" w:cstheme="minorEastAsia"/>
                <w:color w:val="auto"/>
                <w:sz w:val="21"/>
                <w:szCs w:val="21"/>
                <w:highlight w:val="none"/>
              </w:rPr>
              <w:t>干净整洁无异味、设施设备正常使用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pct"/>
            <w:gridSpan w:val="2"/>
            <w:noWrap w:val="0"/>
            <w:vAlign w:val="center"/>
          </w:tcPr>
          <w:p>
            <w:pPr>
              <w:widowControl/>
              <w:autoSpaceDE w:val="0"/>
              <w:autoSpaceDN w:val="0"/>
              <w:spacing w:line="360" w:lineRule="auto"/>
              <w:jc w:val="center"/>
              <w:textAlignment w:val="bottom"/>
              <w:rPr>
                <w:rFonts w:hint="eastAsia" w:asciiTheme="minorEastAsia" w:hAnsiTheme="minorEastAsia" w:eastAsiaTheme="minorEastAsia" w:cstheme="minorEastAsia"/>
                <w:b/>
                <w:bCs/>
                <w:kern w:val="2"/>
                <w:sz w:val="21"/>
                <w:szCs w:val="15"/>
                <w:lang w:val="en-US" w:eastAsia="zh-CN" w:bidi="ar-SA"/>
              </w:rPr>
            </w:pPr>
            <w:r>
              <w:rPr>
                <w:rFonts w:hint="eastAsia" w:asciiTheme="minorEastAsia" w:hAnsiTheme="minorEastAsia" w:eastAsiaTheme="minorEastAsia" w:cstheme="minorEastAsia"/>
                <w:b/>
                <w:bCs/>
                <w:sz w:val="21"/>
                <w:szCs w:val="15"/>
              </w:rPr>
              <w:t>公厕管理</w:t>
            </w:r>
          </w:p>
        </w:tc>
        <w:tc>
          <w:tcPr>
            <w:tcW w:w="2323" w:type="pct"/>
            <w:noWrap w:val="0"/>
            <w:vAlign w:val="center"/>
          </w:tcPr>
          <w:p>
            <w:pPr>
              <w:rPr>
                <w:rFonts w:hint="eastAsia" w:asciiTheme="minorEastAsia" w:hAnsiTheme="minorEastAsia" w:eastAsiaTheme="minorEastAsia" w:cstheme="minorEastAsia"/>
                <w:kern w:val="2"/>
                <w:sz w:val="21"/>
                <w:szCs w:val="15"/>
                <w:lang w:val="en-US" w:eastAsia="zh-CN" w:bidi="ar-SA"/>
              </w:rPr>
            </w:pPr>
            <w:r>
              <w:rPr>
                <w:rFonts w:hint="eastAsia" w:asciiTheme="minorEastAsia" w:hAnsiTheme="minorEastAsia" w:eastAsiaTheme="minorEastAsia" w:cstheme="minorEastAsia"/>
                <w:sz w:val="21"/>
                <w:szCs w:val="15"/>
              </w:rPr>
              <w:t>按照《公共厕所保洁与服务规范》（DB3302T1081-2018）标准。确保精细化保洁质量，促进长效常态管理。</w:t>
            </w:r>
          </w:p>
        </w:tc>
        <w:tc>
          <w:tcPr>
            <w:tcW w:w="1721" w:type="pct"/>
            <w:noWrap w:val="0"/>
            <w:vAlign w:val="center"/>
          </w:tcPr>
          <w:p>
            <w:pPr>
              <w:rPr>
                <w:rFonts w:hint="eastAsia" w:asciiTheme="minorEastAsia" w:hAnsiTheme="minorEastAsia" w:eastAsiaTheme="minorEastAsia" w:cstheme="minorEastAsia"/>
                <w:kern w:val="2"/>
                <w:sz w:val="21"/>
                <w:szCs w:val="15"/>
                <w:lang w:val="en-US" w:eastAsia="zh-CN" w:bidi="ar-SA"/>
              </w:rPr>
            </w:pPr>
            <w:r>
              <w:rPr>
                <w:rFonts w:hint="eastAsia" w:asciiTheme="minorEastAsia" w:hAnsiTheme="minorEastAsia" w:eastAsiaTheme="minorEastAsia" w:cstheme="minorEastAsia"/>
                <w:sz w:val="21"/>
                <w:szCs w:val="15"/>
              </w:rPr>
              <w:t>做到公厕干净整洁无异味、设施设备正常使用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954" w:type="pct"/>
            <w:gridSpan w:val="2"/>
            <w:noWrap w:val="0"/>
            <w:vAlign w:val="center"/>
          </w:tcPr>
          <w:p>
            <w:pPr>
              <w:widowControl/>
              <w:autoSpaceDE w:val="0"/>
              <w:autoSpaceDN w:val="0"/>
              <w:spacing w:line="360" w:lineRule="auto"/>
              <w:jc w:val="center"/>
              <w:textAlignment w:val="bottom"/>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水体保洁</w:t>
            </w:r>
          </w:p>
        </w:tc>
        <w:tc>
          <w:tcPr>
            <w:tcW w:w="2323"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及时打捞断草、树叶、垃圾等水面漂浮物，及时清理青苔，及时应对处理水质各类问题。</w:t>
            </w:r>
          </w:p>
        </w:tc>
        <w:tc>
          <w:tcPr>
            <w:tcW w:w="1721"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保持水面清洁，水体长期维持无黑臭和无大面积蓝绿藻爆发等情况。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54" w:type="pct"/>
            <w:gridSpan w:val="2"/>
            <w:noWrap w:val="0"/>
            <w:vAlign w:val="center"/>
          </w:tcPr>
          <w:p>
            <w:pPr>
              <w:widowControl/>
              <w:autoSpaceDE w:val="0"/>
              <w:autoSpaceDN w:val="0"/>
              <w:spacing w:line="360" w:lineRule="auto"/>
              <w:jc w:val="center"/>
              <w:textAlignment w:val="bottom"/>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设施维护</w:t>
            </w:r>
          </w:p>
        </w:tc>
        <w:tc>
          <w:tcPr>
            <w:tcW w:w="2323"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对公园设施定期巡检，并按要求填写巡检记录表。特殊或重要设备的，如监控系统，在接到公园电话或书面的检修通知后，必须1小时响应，配合采购人通知原施工单位技术人员4小时内到达现场进行处理。其他设备故障的，必须24小时内响应。督促原施工单位在维修过程中安全文明作业。部分由于人为或其他原因造成的，不属于质保范围内的采购人有权要求中标人兜底完成维修，产生的费用按实发生结算。</w:t>
            </w:r>
          </w:p>
        </w:tc>
        <w:tc>
          <w:tcPr>
            <w:tcW w:w="1721"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园内设施完好率达100%，设施破损、设备故障后能快速响应处理。园区内的景观灯、路灯等亮化设备亮化率达到98%及以上。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4" w:type="pct"/>
            <w:gridSpan w:val="2"/>
            <w:noWrap w:val="0"/>
            <w:vAlign w:val="center"/>
          </w:tcPr>
          <w:p>
            <w:pPr>
              <w:widowControl/>
              <w:autoSpaceDE w:val="0"/>
              <w:autoSpaceDN w:val="0"/>
              <w:spacing w:line="360" w:lineRule="auto"/>
              <w:jc w:val="center"/>
              <w:textAlignment w:val="bottom"/>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安全管理</w:t>
            </w:r>
          </w:p>
        </w:tc>
        <w:tc>
          <w:tcPr>
            <w:tcW w:w="2323"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做好公园治安、消防、防盗、反恐防爆、防灾害事故等安防防范工作，保护采购人及入园游客的人身及财产安全，承担公园应急救援，维护游园秩序，对不文明行为及时劝导、说明、纠正，高度警惕各类违法行为苗头，及时发现并配合公安部门制（防）止打架斗殴、敲诈勒索、盗抢诈骗等各类治安或刑事案件。巡逻岗应每2小时对园内各巡逻点进行1次巡逻。</w:t>
            </w:r>
          </w:p>
        </w:tc>
        <w:tc>
          <w:tcPr>
            <w:tcW w:w="1721"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园内安全，游园秩序井然，无不文明现象、无安全事故。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54" w:type="pct"/>
            <w:gridSpan w:val="2"/>
            <w:noWrap w:val="0"/>
            <w:vAlign w:val="center"/>
          </w:tcPr>
          <w:p>
            <w:pPr>
              <w:widowControl/>
              <w:autoSpaceDE w:val="0"/>
              <w:autoSpaceDN w:val="0"/>
              <w:spacing w:line="360" w:lineRule="auto"/>
              <w:jc w:val="center"/>
              <w:textAlignment w:val="bottom"/>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极端气候防护</w:t>
            </w:r>
          </w:p>
        </w:tc>
        <w:tc>
          <w:tcPr>
            <w:tcW w:w="2323"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先做好防汛防台防涝以及冰冻雪灾的应急预案和物资准备工作，梅雨、台风季节随时进行安全巡查，发现险情及时处理。督促原施工单位在台风季节做好对高大乔木和抗风能力较差的树种的疏枝、支撑等加固工作，发生水涝后及时对植物进行排水、遮阴和修剪，冰冻雪灾时对植物进行草包绑扎等防冻措施，并组织人力物力配合做好灾后恢复工作。</w:t>
            </w:r>
          </w:p>
        </w:tc>
        <w:tc>
          <w:tcPr>
            <w:tcW w:w="1721"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及时做好各项防护措施，确保措施到位，灾后第一时间做好恢复工作。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4" w:type="pct"/>
            <w:gridSpan w:val="2"/>
            <w:noWrap w:val="0"/>
            <w:vAlign w:val="center"/>
          </w:tcPr>
          <w:p>
            <w:pPr>
              <w:widowControl/>
              <w:autoSpaceDE w:val="0"/>
              <w:autoSpaceDN w:val="0"/>
              <w:spacing w:line="360" w:lineRule="auto"/>
              <w:jc w:val="center"/>
              <w:textAlignment w:val="bottom"/>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安全生产</w:t>
            </w:r>
          </w:p>
        </w:tc>
        <w:tc>
          <w:tcPr>
            <w:tcW w:w="2323"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做好安全生产和安全文明作业。督促原施工单位安全规范操作机械设备及安全使用农药化肥、汽油等物资；对于高温等特殊天气，做好作业人员的劳动保障措施。</w:t>
            </w:r>
          </w:p>
        </w:tc>
        <w:tc>
          <w:tcPr>
            <w:tcW w:w="1721"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全年不发生各类安全责任事故。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4" w:type="pct"/>
            <w:gridSpan w:val="2"/>
            <w:noWrap w:val="0"/>
            <w:vAlign w:val="center"/>
          </w:tcPr>
          <w:p>
            <w:pPr>
              <w:widowControl/>
              <w:autoSpaceDE w:val="0"/>
              <w:autoSpaceDN w:val="0"/>
              <w:spacing w:line="360" w:lineRule="auto"/>
              <w:jc w:val="center"/>
              <w:textAlignment w:val="bottom"/>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四害消杀</w:t>
            </w:r>
          </w:p>
        </w:tc>
        <w:tc>
          <w:tcPr>
            <w:tcW w:w="2323"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每月不少于1次，每次防治人员不少于2人，使用的药品“三证”齐全。</w:t>
            </w:r>
          </w:p>
        </w:tc>
        <w:tc>
          <w:tcPr>
            <w:tcW w:w="1721" w:type="pct"/>
            <w:vMerge w:val="restar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四害消杀效果达到国家C级标准；白蚁防治做到不发生伤人事件，不危害园内建筑、植物等，符合爱卫部门相关要求。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54" w:type="pct"/>
            <w:gridSpan w:val="2"/>
            <w:noWrap w:val="0"/>
            <w:vAlign w:val="center"/>
          </w:tcPr>
          <w:p>
            <w:pPr>
              <w:widowControl/>
              <w:autoSpaceDE w:val="0"/>
              <w:autoSpaceDN w:val="0"/>
              <w:spacing w:line="360" w:lineRule="auto"/>
              <w:jc w:val="center"/>
              <w:textAlignment w:val="bottom"/>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白蚁防治</w:t>
            </w:r>
          </w:p>
        </w:tc>
        <w:tc>
          <w:tcPr>
            <w:tcW w:w="2323"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及时发现及时处理，使用的药品“三证”齐全。</w:t>
            </w:r>
          </w:p>
        </w:tc>
        <w:tc>
          <w:tcPr>
            <w:tcW w:w="1721" w:type="pct"/>
            <w:vMerge w:val="continue"/>
            <w:noWrap w:val="0"/>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54" w:type="pct"/>
            <w:gridSpan w:val="2"/>
            <w:noWrap w:val="0"/>
            <w:vAlign w:val="center"/>
          </w:tcPr>
          <w:p>
            <w:pPr>
              <w:widowControl/>
              <w:autoSpaceDE w:val="0"/>
              <w:autoSpaceDN w:val="0"/>
              <w:spacing w:line="360" w:lineRule="auto"/>
              <w:jc w:val="center"/>
              <w:textAlignment w:val="bottom"/>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节日氛围营造</w:t>
            </w:r>
          </w:p>
        </w:tc>
        <w:tc>
          <w:tcPr>
            <w:tcW w:w="2323"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配合采购人进行春节、六一、国庆等节假日，在公园指定的范围进行相关的花卉布置，并根据要求悬挂国旗、灯笼等。</w:t>
            </w:r>
          </w:p>
        </w:tc>
        <w:tc>
          <w:tcPr>
            <w:tcW w:w="1721"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达到高标准景观效果。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954" w:type="pct"/>
            <w:gridSpan w:val="2"/>
            <w:noWrap w:val="0"/>
            <w:vAlign w:val="center"/>
          </w:tcPr>
          <w:p>
            <w:pPr>
              <w:widowControl/>
              <w:autoSpaceDE w:val="0"/>
              <w:autoSpaceDN w:val="0"/>
              <w:spacing w:line="360" w:lineRule="auto"/>
              <w:jc w:val="center"/>
              <w:textAlignment w:val="bottom"/>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台账管理</w:t>
            </w:r>
          </w:p>
        </w:tc>
        <w:tc>
          <w:tcPr>
            <w:tcW w:w="2323"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按时修订、完善、记录、整理、上报各类管理台账。</w:t>
            </w:r>
          </w:p>
        </w:tc>
        <w:tc>
          <w:tcPr>
            <w:tcW w:w="1721" w:type="pct"/>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确保根据采购人要求，按时修订、完善、记录、整理、上报各类管理台账。</w:t>
            </w:r>
          </w:p>
        </w:tc>
      </w:tr>
    </w:tbl>
    <w:p>
      <w:pPr>
        <w:widowControl/>
        <w:spacing w:line="560" w:lineRule="exact"/>
        <w:ind w:firstLine="562" w:firstLineChars="200"/>
        <w:outlineLvl w:val="2"/>
        <w:rPr>
          <w:rFonts w:hint="eastAsia" w:ascii="宋体" w:hAnsi="宋体" w:cs="宋体"/>
          <w:b/>
          <w:sz w:val="28"/>
          <w:szCs w:val="28"/>
          <w:lang w:val="en-US" w:eastAsia="zh-CN"/>
        </w:rPr>
      </w:pPr>
    </w:p>
    <w:p>
      <w:pPr>
        <w:widowControl/>
        <w:spacing w:line="560" w:lineRule="exact"/>
        <w:ind w:firstLine="640" w:firstLineChars="200"/>
        <w:outlineLvl w:val="2"/>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其他要求</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1、供应商在服务期内需做好严格的安全措施，承担由于自身原因所造成的事故责任及其发生的一切费用。</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2、本项目所涉及的管理费、人工费、加班费、人身意外险、税金</w:t>
      </w:r>
      <w:r>
        <w:rPr>
          <w:rFonts w:hint="eastAsia" w:ascii="宋体" w:hAnsi="宋体" w:cs="宋体"/>
          <w:sz w:val="28"/>
          <w:szCs w:val="28"/>
          <w:lang w:eastAsia="zh-CN"/>
        </w:rPr>
        <w:t>、</w:t>
      </w:r>
      <w:r>
        <w:rPr>
          <w:rFonts w:hint="eastAsia" w:ascii="宋体" w:hAnsi="宋体" w:cs="宋体"/>
          <w:sz w:val="28"/>
          <w:szCs w:val="28"/>
          <w:lang w:val="en-US" w:eastAsia="zh-CN"/>
        </w:rPr>
        <w:t>垃圾清运费、保洁用品及耗材</w:t>
      </w:r>
      <w:r>
        <w:rPr>
          <w:rFonts w:hint="eastAsia" w:ascii="宋体" w:hAnsi="宋体" w:cs="宋体"/>
          <w:sz w:val="28"/>
          <w:szCs w:val="28"/>
        </w:rPr>
        <w:t>等费用都需包含在报价中。</w:t>
      </w:r>
    </w:p>
    <w:p>
      <w:pPr>
        <w:spacing w:line="360" w:lineRule="auto"/>
        <w:ind w:firstLine="560" w:firstLineChars="200"/>
        <w:rPr>
          <w:rFonts w:hint="eastAsia" w:ascii="宋体" w:hAnsi="宋体" w:cs="宋体"/>
          <w:sz w:val="28"/>
          <w:szCs w:val="28"/>
          <w:highlight w:val="none"/>
          <w:lang w:eastAsia="zh-CN"/>
        </w:rPr>
      </w:pPr>
      <w:r>
        <w:rPr>
          <w:rFonts w:hint="eastAsia" w:ascii="宋体" w:hAnsi="宋体" w:cs="宋体"/>
          <w:sz w:val="28"/>
          <w:szCs w:val="28"/>
        </w:rPr>
        <w:t>3、</w:t>
      </w:r>
      <w:r>
        <w:rPr>
          <w:rFonts w:hint="eastAsia" w:ascii="宋体" w:hAnsi="宋体" w:cs="宋体"/>
          <w:sz w:val="28"/>
          <w:szCs w:val="28"/>
          <w:lang w:val="en-US" w:eastAsia="zh-CN"/>
        </w:rPr>
        <w:t>供应商</w:t>
      </w:r>
      <w:r>
        <w:rPr>
          <w:rFonts w:hint="eastAsia" w:ascii="宋体" w:hAnsi="宋体" w:cs="宋体"/>
          <w:sz w:val="28"/>
          <w:szCs w:val="28"/>
        </w:rPr>
        <w:t>企业应切实保障职工的合法权益，及时按规定发放工资、福利、津贴等有关费用，不得无故克扣、拖延，否则，追究由此带</w:t>
      </w:r>
      <w:r>
        <w:rPr>
          <w:rFonts w:hint="eastAsia" w:ascii="宋体" w:hAnsi="宋体" w:cs="宋体"/>
          <w:sz w:val="28"/>
          <w:szCs w:val="28"/>
          <w:highlight w:val="none"/>
        </w:rPr>
        <w:t>来的其他损失</w:t>
      </w:r>
      <w:r>
        <w:rPr>
          <w:rFonts w:hint="eastAsia" w:ascii="宋体" w:hAnsi="宋体" w:cs="宋体"/>
          <w:sz w:val="28"/>
          <w:szCs w:val="28"/>
          <w:highlight w:val="none"/>
          <w:lang w:eastAsia="zh-CN"/>
        </w:rPr>
        <w:t>，</w:t>
      </w:r>
    </w:p>
    <w:p>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lang w:val="en-US" w:eastAsia="zh-CN"/>
        </w:rPr>
        <w:t>4、</w:t>
      </w:r>
      <w:r>
        <w:rPr>
          <w:rFonts w:hint="eastAsia" w:ascii="宋体" w:hAnsi="宋体" w:cs="宋体"/>
          <w:sz w:val="28"/>
          <w:szCs w:val="28"/>
          <w:highlight w:val="none"/>
        </w:rPr>
        <w:t>以上为公园的基本人员和工作安排，拟派人员的年龄及用工时间应符合《中华人民共和国劳动法》《中华人民共和国劳动合同法》等相关规定。</w:t>
      </w:r>
    </w:p>
    <w:p>
      <w:pPr>
        <w:pStyle w:val="2"/>
        <w:rPr>
          <w:rFonts w:hint="default" w:eastAsia="仿宋_GB2312"/>
          <w:highlight w:val="none"/>
          <w:lang w:val="en-US" w:eastAsia="zh-CN"/>
        </w:rPr>
      </w:pPr>
      <w:r>
        <w:rPr>
          <w:rFonts w:hint="eastAsia" w:ascii="宋体" w:hAnsi="宋体" w:cs="宋体"/>
          <w:sz w:val="28"/>
          <w:szCs w:val="28"/>
          <w:highlight w:val="none"/>
          <w:lang w:val="en-US" w:eastAsia="zh-CN"/>
        </w:rPr>
        <w:t xml:space="preserve">    5、物业服务人员服装不得有供应商标识。</w:t>
      </w:r>
    </w:p>
    <w:p>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lang w:val="en-US" w:eastAsia="zh-CN"/>
        </w:rPr>
        <w:t>6</w:t>
      </w:r>
      <w:r>
        <w:rPr>
          <w:rFonts w:hint="eastAsia" w:ascii="宋体" w:hAnsi="宋体" w:cs="宋体"/>
          <w:sz w:val="28"/>
          <w:szCs w:val="28"/>
          <w:highlight w:val="none"/>
        </w:rPr>
        <w:t>、遇重大活动和节日、市民和上级的要求、自然灾害、突发事件等，</w:t>
      </w:r>
      <w:r>
        <w:rPr>
          <w:rFonts w:hint="eastAsia" w:ascii="宋体" w:hAnsi="宋体" w:cs="宋体"/>
          <w:sz w:val="28"/>
          <w:szCs w:val="28"/>
          <w:highlight w:val="none"/>
          <w:lang w:val="en-US" w:eastAsia="zh-CN"/>
        </w:rPr>
        <w:t>供应商</w:t>
      </w:r>
      <w:r>
        <w:rPr>
          <w:rFonts w:hint="eastAsia" w:ascii="宋体" w:hAnsi="宋体" w:cs="宋体"/>
          <w:sz w:val="28"/>
          <w:szCs w:val="28"/>
          <w:highlight w:val="none"/>
        </w:rPr>
        <w:t>必须按采购人的要求做好积极响应工作。</w:t>
      </w:r>
    </w:p>
    <w:p>
      <w:pPr>
        <w:widowControl/>
        <w:spacing w:line="560" w:lineRule="exact"/>
        <w:ind w:firstLine="640" w:firstLineChars="200"/>
        <w:outlineLvl w:val="2"/>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六、</w:t>
      </w:r>
      <w:r>
        <w:rPr>
          <w:rFonts w:hint="eastAsia" w:ascii="黑体" w:hAnsi="黑体" w:eastAsia="黑体" w:cs="黑体"/>
          <w:b w:val="0"/>
          <w:bCs/>
          <w:sz w:val="32"/>
          <w:szCs w:val="32"/>
          <w:highlight w:val="none"/>
        </w:rPr>
        <w:t>考核办法（暂行办法）</w:t>
      </w:r>
    </w:p>
    <w:p>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考核：采购人每季度对公园进行综合考核，85分及以上为优秀，60分及以上为合格。低于85分且高于75分（含）的，支付当季度费用金额的95%；低于75分且高于60分（含）的，支付当季度费用金额的90%；低于60分，支付当季度费用金额的50%，且情节严重的可单方面解除合同。考核表详见附件</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4401"/>
        <w:gridCol w:w="1923"/>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8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1"/>
                <w:szCs w:val="21"/>
              </w:rPr>
            </w:pPr>
            <w:r>
              <w:rPr>
                <w:rFonts w:hint="eastAsia" w:ascii="宋体" w:hAnsi="宋体" w:cs="宋体"/>
                <w:b/>
                <w:sz w:val="21"/>
                <w:szCs w:val="21"/>
              </w:rPr>
              <w:t>项目</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1"/>
                <w:szCs w:val="21"/>
              </w:rPr>
            </w:pPr>
            <w:r>
              <w:rPr>
                <w:rFonts w:hint="eastAsia" w:ascii="宋体" w:hAnsi="宋体" w:cs="宋体"/>
                <w:b/>
                <w:sz w:val="21"/>
                <w:szCs w:val="21"/>
              </w:rPr>
              <w:t>问题项</w:t>
            </w:r>
          </w:p>
        </w:tc>
        <w:tc>
          <w:tcPr>
            <w:tcW w:w="112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1"/>
                <w:szCs w:val="21"/>
              </w:rPr>
            </w:pPr>
            <w:r>
              <w:rPr>
                <w:rFonts w:hint="eastAsia" w:ascii="宋体" w:hAnsi="宋体" w:cs="宋体"/>
                <w:b/>
                <w:sz w:val="21"/>
                <w:szCs w:val="21"/>
              </w:rPr>
              <w:t>扣罚标准</w:t>
            </w:r>
          </w:p>
        </w:tc>
        <w:tc>
          <w:tcPr>
            <w:tcW w:w="4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1"/>
                <w:szCs w:val="21"/>
              </w:rPr>
            </w:pPr>
            <w:r>
              <w:rPr>
                <w:rFonts w:hint="eastAsia" w:ascii="宋体" w:hAnsi="宋体" w:cs="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blHeader/>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pPr>
              <w:jc w:val="left"/>
              <w:rPr>
                <w:rFonts w:hint="eastAsia" w:ascii="宋体" w:hAnsi="宋体" w:cs="宋体"/>
                <w:b/>
                <w:sz w:val="21"/>
                <w:szCs w:val="21"/>
              </w:rPr>
            </w:pPr>
            <w:r>
              <w:rPr>
                <w:rFonts w:hint="eastAsia" w:ascii="宋体" w:hAnsi="宋体" w:cs="宋体"/>
                <w:b/>
                <w:sz w:val="21"/>
                <w:szCs w:val="21"/>
              </w:rPr>
              <w:t>（一）园容园貌（30分）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870"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园容保洁</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1.1园内各类园椅、园凳、果壳箱、标识牌、灯杆、雕塑、栏杆、景观灯、游乐设施等存在明显灰尘、蜘蛛网、污渍或垃圾。</w:t>
            </w:r>
          </w:p>
        </w:tc>
        <w:tc>
          <w:tcPr>
            <w:tcW w:w="1128" w:type="pct"/>
            <w:vMerge w:val="restart"/>
            <w:tcBorders>
              <w:top w:val="single" w:color="auto" w:sz="4" w:space="0"/>
              <w:left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每发现一处扣0.5分。</w:t>
            </w:r>
          </w:p>
        </w:tc>
        <w:tc>
          <w:tcPr>
            <w:tcW w:w="418" w:type="pct"/>
            <w:vMerge w:val="restart"/>
            <w:tcBorders>
              <w:top w:val="single" w:color="auto" w:sz="4" w:space="0"/>
              <w:left w:val="single" w:color="auto" w:sz="4" w:space="0"/>
              <w:right w:val="single" w:color="auto" w:sz="4" w:space="0"/>
            </w:tcBorders>
            <w:noWrap w:val="0"/>
            <w:vAlign w:val="center"/>
          </w:tcPr>
          <w:p>
            <w:pPr>
              <w:jc w:val="center"/>
              <w:rPr>
                <w:rFonts w:ascii="宋体" w:hAnsi="宋体"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1.2园内园路、硬质铺装等存在明显积水、污渍、垃圾、积泥、青苔，接缝杂草等。</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1.3园内绿地存在白色垃圾、烟蒂、明显枯枝等，雨水沟、窨井存在大量落叶堵塞情况。</w:t>
            </w:r>
          </w:p>
        </w:tc>
        <w:tc>
          <w:tcPr>
            <w:tcW w:w="1128" w:type="pct"/>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1.4园内垃圾未日产日清，存在绿地及路旁遗留垃圾情况，垃圾分类不到位，存在混投等情况。</w:t>
            </w:r>
          </w:p>
        </w:tc>
        <w:tc>
          <w:tcPr>
            <w:tcW w:w="1128" w:type="pct"/>
            <w:vMerge w:val="restart"/>
            <w:tcBorders>
              <w:top w:val="single" w:color="auto" w:sz="4" w:space="0"/>
              <w:left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每发现一次扣1分（当季累计扣分）。</w:t>
            </w: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1.5保洁作业车、垃圾运输车不整洁，作业车未定点停放，停放在草坪、地被植物上。</w:t>
            </w:r>
          </w:p>
        </w:tc>
        <w:tc>
          <w:tcPr>
            <w:tcW w:w="1128" w:type="pct"/>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blHeader/>
          <w:jc w:val="center"/>
        </w:trPr>
        <w:tc>
          <w:tcPr>
            <w:tcW w:w="870"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lang w:val="en-US" w:eastAsia="zh-CN"/>
              </w:rPr>
              <w:t>游客中心</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1.1地面存在明显积水、污渍。</w:t>
            </w:r>
          </w:p>
        </w:tc>
        <w:tc>
          <w:tcPr>
            <w:tcW w:w="1128" w:type="pct"/>
            <w:vMerge w:val="restart"/>
            <w:tcBorders>
              <w:left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每发现一处扣0.5分。</w:t>
            </w:r>
          </w:p>
        </w:tc>
        <w:tc>
          <w:tcPr>
            <w:tcW w:w="418"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870"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1.2座椅存在污渍和异味。</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870"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1.3墙壁出现污渍和霉菌。</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870"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1.4存在白色垃圾、烟蒂等垃圾。</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870"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公厕管理</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5</w:t>
            </w:r>
            <w:r>
              <w:rPr>
                <w:rFonts w:hint="eastAsia" w:ascii="宋体" w:hAnsi="宋体" w:cs="宋体"/>
                <w:sz w:val="21"/>
                <w:szCs w:val="21"/>
                <w:highlight w:val="none"/>
              </w:rPr>
              <w:t>厕所内标识标牌、设施设备等发现破损、残缺，影响正常使用。</w:t>
            </w:r>
          </w:p>
        </w:tc>
        <w:tc>
          <w:tcPr>
            <w:tcW w:w="1128" w:type="pct"/>
            <w:vMerge w:val="restart"/>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每发现一处扣0.5分。</w:t>
            </w:r>
          </w:p>
        </w:tc>
        <w:tc>
          <w:tcPr>
            <w:tcW w:w="418"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yellow"/>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6</w:t>
            </w:r>
            <w:r>
              <w:rPr>
                <w:rFonts w:hint="eastAsia" w:ascii="宋体" w:hAnsi="宋体" w:cs="宋体"/>
                <w:sz w:val="21"/>
                <w:szCs w:val="21"/>
                <w:highlight w:val="none"/>
              </w:rPr>
              <w:t>厕内环境不整洁（存在便渍、可见垃圾、积灰蛛网、乱涂写乱张贴等现象）。</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yellow"/>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7</w:t>
            </w:r>
            <w:r>
              <w:rPr>
                <w:rFonts w:hint="eastAsia" w:ascii="宋体" w:hAnsi="宋体" w:cs="宋体"/>
                <w:sz w:val="21"/>
                <w:szCs w:val="21"/>
                <w:highlight w:val="none"/>
              </w:rPr>
              <w:t>垃圾桶满溢的或厕间废纸篓超过三分之一的。</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yellow"/>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8</w:t>
            </w:r>
            <w:r>
              <w:rPr>
                <w:rFonts w:hint="eastAsia" w:ascii="宋体" w:hAnsi="宋体" w:cs="宋体"/>
                <w:sz w:val="21"/>
                <w:szCs w:val="21"/>
                <w:highlight w:val="none"/>
              </w:rPr>
              <w:t>保洁员作业期间未正确佩戴口罩和手套，拖把、抹布等保洁工具未隐蔽收纳或摆放不整齐。</w:t>
            </w:r>
          </w:p>
        </w:tc>
        <w:tc>
          <w:tcPr>
            <w:tcW w:w="1128" w:type="pct"/>
            <w:vMerge w:val="restart"/>
            <w:tcBorders>
              <w:left w:val="single" w:color="auto" w:sz="4" w:space="0"/>
              <w:right w:val="single" w:color="auto" w:sz="4" w:space="0"/>
            </w:tcBorders>
            <w:noWrap w:val="0"/>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每发现一次扣0.5分（当季累计扣分）。</w:t>
            </w: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9</w:t>
            </w:r>
            <w:r>
              <w:rPr>
                <w:rFonts w:hint="eastAsia" w:ascii="宋体" w:hAnsi="宋体" w:cs="宋体"/>
                <w:sz w:val="21"/>
                <w:szCs w:val="21"/>
              </w:rPr>
              <w:t>厕内异味明显、有蚊蝇的。</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1.1</w:t>
            </w:r>
            <w:r>
              <w:rPr>
                <w:rFonts w:hint="eastAsia" w:ascii="宋体" w:hAnsi="宋体" w:cs="宋体"/>
                <w:sz w:val="21"/>
                <w:szCs w:val="21"/>
                <w:lang w:val="en-US" w:eastAsia="zh-CN"/>
              </w:rPr>
              <w:t>0</w:t>
            </w:r>
            <w:r>
              <w:rPr>
                <w:rFonts w:hint="eastAsia" w:ascii="宋体" w:hAnsi="宋体" w:cs="宋体"/>
                <w:sz w:val="21"/>
                <w:szCs w:val="21"/>
              </w:rPr>
              <w:t>未按规范进行消毒作业。</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blHeader/>
          <w:jc w:val="center"/>
        </w:trPr>
        <w:tc>
          <w:tcPr>
            <w:tcW w:w="870" w:type="pct"/>
            <w:vMerge w:val="restart"/>
            <w:tcBorders>
              <w:left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四害消杀及外来入侵物种</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1.1</w:t>
            </w:r>
            <w:r>
              <w:rPr>
                <w:rFonts w:hint="eastAsia" w:ascii="宋体" w:hAnsi="宋体" w:cs="宋体"/>
                <w:sz w:val="21"/>
                <w:szCs w:val="21"/>
                <w:lang w:val="en-US" w:eastAsia="zh-CN"/>
              </w:rPr>
              <w:t>1</w:t>
            </w:r>
            <w:r>
              <w:rPr>
                <w:rFonts w:hint="eastAsia" w:ascii="宋体" w:hAnsi="宋体" w:cs="宋体"/>
                <w:sz w:val="21"/>
                <w:szCs w:val="21"/>
              </w:rPr>
              <w:t>园内四害消杀不及时，蚊蝇较多</w:t>
            </w:r>
          </w:p>
        </w:tc>
        <w:tc>
          <w:tcPr>
            <w:tcW w:w="1128" w:type="pct"/>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每发现一处扣0.5分。</w:t>
            </w:r>
          </w:p>
        </w:tc>
        <w:tc>
          <w:tcPr>
            <w:tcW w:w="418"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1.1</w:t>
            </w:r>
            <w:r>
              <w:rPr>
                <w:rFonts w:hint="eastAsia" w:ascii="宋体" w:hAnsi="宋体" w:cs="宋体"/>
                <w:sz w:val="21"/>
                <w:szCs w:val="21"/>
                <w:lang w:val="en-US" w:eastAsia="zh-CN"/>
              </w:rPr>
              <w:t>2</w:t>
            </w:r>
            <w:r>
              <w:rPr>
                <w:rFonts w:hint="eastAsia" w:ascii="宋体" w:hAnsi="宋体" w:cs="宋体"/>
                <w:sz w:val="21"/>
                <w:szCs w:val="21"/>
              </w:rPr>
              <w:t>园内未及时发现外来入侵物种，或发现后未及时上报的。</w:t>
            </w:r>
          </w:p>
        </w:tc>
        <w:tc>
          <w:tcPr>
            <w:tcW w:w="1128" w:type="pct"/>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每发现1次扣3分。</w:t>
            </w: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blHeader/>
          <w:jc w:val="center"/>
        </w:trPr>
        <w:tc>
          <w:tcPr>
            <w:tcW w:w="870"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水体维护</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1.1</w:t>
            </w:r>
            <w:r>
              <w:rPr>
                <w:rFonts w:hint="eastAsia" w:ascii="宋体" w:hAnsi="宋体" w:cs="宋体"/>
                <w:sz w:val="21"/>
                <w:szCs w:val="21"/>
                <w:lang w:val="en-US" w:eastAsia="zh-CN"/>
              </w:rPr>
              <w:t>3</w:t>
            </w:r>
            <w:r>
              <w:rPr>
                <w:rFonts w:hint="eastAsia" w:ascii="宋体" w:hAnsi="宋体" w:cs="宋体"/>
                <w:sz w:val="21"/>
                <w:szCs w:val="21"/>
              </w:rPr>
              <w:t>水面存在明显漂浮垃圾。</w:t>
            </w:r>
          </w:p>
        </w:tc>
        <w:tc>
          <w:tcPr>
            <w:tcW w:w="1128" w:type="pct"/>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每发现一次扣0.5分（当季累计扣分）。</w:t>
            </w:r>
          </w:p>
        </w:tc>
        <w:tc>
          <w:tcPr>
            <w:tcW w:w="418"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blHeader/>
          <w:jc w:val="center"/>
        </w:trPr>
        <w:tc>
          <w:tcPr>
            <w:tcW w:w="870" w:type="pct"/>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14</w:t>
            </w:r>
            <w:r>
              <w:rPr>
                <w:rFonts w:hint="eastAsia" w:ascii="宋体" w:hAnsi="宋体" w:cs="宋体"/>
                <w:sz w:val="21"/>
                <w:szCs w:val="21"/>
                <w:shd w:val="clear" w:color="auto" w:fill="FFFFFF"/>
                <w:lang w:val="zh-TW" w:bidi="zh-TW"/>
              </w:rPr>
              <w:t>水体出现黑臭或无大面积蓝绿藻爆发</w:t>
            </w:r>
            <w:r>
              <w:rPr>
                <w:rFonts w:hint="eastAsia" w:ascii="宋体" w:hAnsi="宋体" w:cs="宋体"/>
                <w:sz w:val="21"/>
                <w:szCs w:val="21"/>
                <w:shd w:val="clear" w:color="auto" w:fill="FFFFFF"/>
                <w:lang w:bidi="zh-TW"/>
              </w:rPr>
              <w:t>情况</w:t>
            </w:r>
          </w:p>
        </w:tc>
        <w:tc>
          <w:tcPr>
            <w:tcW w:w="1128" w:type="pct"/>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每次扣2分。</w:t>
            </w:r>
          </w:p>
        </w:tc>
        <w:tc>
          <w:tcPr>
            <w:tcW w:w="418" w:type="pct"/>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blHeader/>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pPr>
              <w:jc w:val="left"/>
              <w:rPr>
                <w:rFonts w:hint="eastAsia" w:ascii="宋体" w:hAnsi="宋体" w:cs="宋体"/>
                <w:b/>
                <w:sz w:val="21"/>
                <w:szCs w:val="21"/>
              </w:rPr>
            </w:pPr>
            <w:r>
              <w:rPr>
                <w:rFonts w:hint="eastAsia" w:ascii="宋体" w:hAnsi="宋体" w:cs="宋体"/>
                <w:b/>
                <w:sz w:val="21"/>
                <w:szCs w:val="21"/>
              </w:rPr>
              <w:t>（二）安全管理（20分）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blHeader/>
          <w:jc w:val="center"/>
        </w:trPr>
        <w:tc>
          <w:tcPr>
            <w:tcW w:w="870"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安全秩序</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2.1园内存在赌博、传播封建迷信、流动设摊、乱涂乱画、攀折花枝和攀爬雕塑、吊挂晾晒等影响正常游园和公园景观的不文明行为未见及时劝阻。</w:t>
            </w:r>
          </w:p>
        </w:tc>
        <w:tc>
          <w:tcPr>
            <w:tcW w:w="1128" w:type="pct"/>
            <w:vMerge w:val="restart"/>
            <w:tcBorders>
              <w:top w:val="single" w:color="auto" w:sz="4" w:space="0"/>
              <w:left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每发现一次，根据情节轻重扣1-2分（当季累计扣分）。</w:t>
            </w:r>
          </w:p>
        </w:tc>
        <w:tc>
          <w:tcPr>
            <w:tcW w:w="418"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2.2园内噪音超标严重（大于80分贝）未见落实措施和及时劝阻。</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2.3园内水域存在网鱼、钓鱼、游泳、洗衣物等不文明行为未见及时劝阻。</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2.4园内存在非机动车乱停放现象未见落实措施。</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2.5公园存在不规范遛犬未及时劝阻，存在流浪犬猫未见落实措施。</w:t>
            </w:r>
          </w:p>
        </w:tc>
        <w:tc>
          <w:tcPr>
            <w:tcW w:w="1128" w:type="pct"/>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70"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应急处置</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2.6未及时发现安全隐患风险，致使公园产生一定影响。</w:t>
            </w:r>
          </w:p>
        </w:tc>
        <w:tc>
          <w:tcPr>
            <w:tcW w:w="1128" w:type="pct"/>
            <w:vMerge w:val="restart"/>
            <w:tcBorders>
              <w:left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每发生一次，根据情节轻重扣3-10分</w:t>
            </w:r>
          </w:p>
        </w:tc>
        <w:tc>
          <w:tcPr>
            <w:tcW w:w="418"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2.7在极端气候发生时，园内应急措施不到位，致使公园发生一定损失。</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2.8园内发生突发事件或意外事故后未及时采取有效措施，未将相关情况及时上报采购人。</w:t>
            </w:r>
          </w:p>
        </w:tc>
        <w:tc>
          <w:tcPr>
            <w:tcW w:w="1128" w:type="pct"/>
            <w:vMerge w:val="continue"/>
            <w:tcBorders>
              <w:left w:val="single" w:color="auto" w:sz="4" w:space="0"/>
              <w:right w:val="single" w:color="auto" w:sz="4" w:space="0"/>
            </w:tcBorders>
            <w:noWrap w:val="0"/>
            <w:vAlign w:val="center"/>
          </w:tcPr>
          <w:p>
            <w:pPr>
              <w:jc w:val="left"/>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2.9园内发生偷盗、打架斗殴等治安事件，未及时发现、未及时与派出所联系处理，导致公园设施破损、游客发生伤亡、财产损失的。</w:t>
            </w:r>
          </w:p>
        </w:tc>
        <w:tc>
          <w:tcPr>
            <w:tcW w:w="1128" w:type="pct"/>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blHeader/>
          <w:jc w:val="center"/>
        </w:trPr>
        <w:tc>
          <w:tcPr>
            <w:tcW w:w="5000" w:type="pct"/>
            <w:gridSpan w:val="4"/>
            <w:tcBorders>
              <w:left w:val="single" w:color="auto" w:sz="4" w:space="0"/>
              <w:right w:val="single" w:color="auto" w:sz="4" w:space="0"/>
            </w:tcBorders>
            <w:shd w:val="clear" w:color="auto" w:fill="D7D7D7"/>
            <w:noWrap w:val="0"/>
            <w:vAlign w:val="center"/>
          </w:tcPr>
          <w:p>
            <w:pPr>
              <w:tabs>
                <w:tab w:val="left" w:pos="3039"/>
              </w:tabs>
              <w:jc w:val="left"/>
              <w:rPr>
                <w:rFonts w:hint="eastAsia" w:ascii="宋体" w:hAnsi="宋体" w:cs="宋体"/>
                <w:b/>
                <w:sz w:val="21"/>
                <w:szCs w:val="21"/>
              </w:rPr>
            </w:pPr>
            <w:r>
              <w:rPr>
                <w:rFonts w:hint="eastAsia" w:ascii="宋体" w:hAnsi="宋体" w:cs="宋体"/>
                <w:b/>
                <w:sz w:val="21"/>
                <w:szCs w:val="21"/>
              </w:rPr>
              <w:t>（三）设施管理（20分）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设施</w:t>
            </w:r>
          </w:p>
          <w:p>
            <w:pPr>
              <w:jc w:val="center"/>
              <w:rPr>
                <w:rFonts w:hint="eastAsia" w:ascii="宋体" w:hAnsi="宋体" w:cs="宋体"/>
                <w:sz w:val="21"/>
                <w:szCs w:val="21"/>
              </w:rPr>
            </w:pPr>
            <w:r>
              <w:rPr>
                <w:rFonts w:hint="eastAsia" w:ascii="宋体" w:hAnsi="宋体" w:cs="宋体"/>
                <w:sz w:val="21"/>
                <w:szCs w:val="21"/>
              </w:rPr>
              <w:t>维护</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3.1日常巡查不到位，未及时发现游乐设施破损或发现后未及时通知维保厂家进行处理。</w:t>
            </w:r>
          </w:p>
        </w:tc>
        <w:tc>
          <w:tcPr>
            <w:tcW w:w="1128" w:type="pct"/>
            <w:vMerge w:val="restart"/>
            <w:tcBorders>
              <w:top w:val="single" w:color="auto" w:sz="4" w:space="0"/>
              <w:left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每发现一次扣1分（当季累计扣分）。</w:t>
            </w:r>
          </w:p>
        </w:tc>
        <w:tc>
          <w:tcPr>
            <w:tcW w:w="418"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3.2日检、周检、月检记录有脱检情况的。</w:t>
            </w:r>
          </w:p>
        </w:tc>
        <w:tc>
          <w:tcPr>
            <w:tcW w:w="1128" w:type="pct"/>
            <w:vMerge w:val="continue"/>
            <w:tcBorders>
              <w:left w:val="single" w:color="auto" w:sz="4" w:space="0"/>
              <w:right w:val="single" w:color="auto" w:sz="4" w:space="0"/>
            </w:tcBorders>
            <w:noWrap w:val="0"/>
            <w:vAlign w:val="center"/>
          </w:tcPr>
          <w:p>
            <w:pPr>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3.3游乐设施存在安全隐患且未及时处理的。</w:t>
            </w:r>
          </w:p>
        </w:tc>
        <w:tc>
          <w:tcPr>
            <w:tcW w:w="1128" w:type="pct"/>
            <w:vMerge w:val="continue"/>
            <w:tcBorders>
              <w:left w:val="single" w:color="auto" w:sz="4" w:space="0"/>
              <w:right w:val="single" w:color="auto" w:sz="4" w:space="0"/>
            </w:tcBorders>
            <w:noWrap w:val="0"/>
            <w:vAlign w:val="center"/>
          </w:tcPr>
          <w:p>
            <w:pPr>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3.4当游乐设施发生破损无法正常使用时，围护及告示不到位。</w:t>
            </w:r>
          </w:p>
        </w:tc>
        <w:tc>
          <w:tcPr>
            <w:tcW w:w="1128" w:type="pct"/>
            <w:vMerge w:val="continue"/>
            <w:tcBorders>
              <w:left w:val="single" w:color="auto" w:sz="4" w:space="0"/>
              <w:right w:val="single" w:color="auto" w:sz="4" w:space="0"/>
            </w:tcBorders>
            <w:noWrap w:val="0"/>
            <w:vAlign w:val="center"/>
          </w:tcPr>
          <w:p>
            <w:pPr>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3.5当园区内的景观灯、路灯、灯带等无法正常使用未及时进行维护修理的。</w:t>
            </w:r>
          </w:p>
        </w:tc>
        <w:tc>
          <w:tcPr>
            <w:tcW w:w="1128" w:type="pct"/>
            <w:vMerge w:val="continue"/>
            <w:tcBorders>
              <w:left w:val="single" w:color="auto" w:sz="4" w:space="0"/>
              <w:right w:val="single" w:color="auto" w:sz="4" w:space="0"/>
            </w:tcBorders>
            <w:noWrap w:val="0"/>
            <w:vAlign w:val="center"/>
          </w:tcPr>
          <w:p>
            <w:pPr>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3.6当园区内的亮化设施设备无法正常使用，亮化率低于98%的。</w:t>
            </w:r>
          </w:p>
        </w:tc>
        <w:tc>
          <w:tcPr>
            <w:tcW w:w="1128" w:type="pct"/>
            <w:vMerge w:val="continue"/>
            <w:tcBorders>
              <w:left w:val="single" w:color="auto" w:sz="4" w:space="0"/>
              <w:right w:val="single" w:color="auto" w:sz="4" w:space="0"/>
            </w:tcBorders>
            <w:noWrap w:val="0"/>
            <w:vAlign w:val="center"/>
          </w:tcPr>
          <w:p>
            <w:pPr>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游玩秩序</w:t>
            </w:r>
          </w:p>
          <w:p>
            <w:pPr>
              <w:jc w:val="center"/>
              <w:rPr>
                <w:rFonts w:hint="eastAsia" w:ascii="宋体" w:hAnsi="宋体" w:cs="宋体"/>
                <w:sz w:val="21"/>
                <w:szCs w:val="21"/>
              </w:rPr>
            </w:pPr>
            <w:r>
              <w:rPr>
                <w:rFonts w:hint="eastAsia" w:ascii="宋体" w:hAnsi="宋体" w:cs="宋体"/>
                <w:sz w:val="21"/>
                <w:szCs w:val="21"/>
              </w:rPr>
              <w:t>管理</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3.7因管理不善，导致游客进入</w:t>
            </w:r>
            <w:r>
              <w:rPr>
                <w:rFonts w:hint="eastAsia" w:ascii="宋体" w:hAnsi="宋体" w:cs="宋体"/>
                <w:sz w:val="21"/>
                <w:szCs w:val="21"/>
                <w:lang w:val="en-US" w:eastAsia="zh-CN"/>
              </w:rPr>
              <w:t>园区</w:t>
            </w:r>
            <w:r>
              <w:rPr>
                <w:rFonts w:hint="eastAsia" w:ascii="宋体" w:hAnsi="宋体" w:cs="宋体"/>
                <w:sz w:val="21"/>
                <w:szCs w:val="21"/>
              </w:rPr>
              <w:t>时秩序不佳。</w:t>
            </w:r>
          </w:p>
        </w:tc>
        <w:tc>
          <w:tcPr>
            <w:tcW w:w="112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3.8因管理不善，导致游客游乐设施游玩时秩序不佳</w:t>
            </w:r>
          </w:p>
        </w:tc>
        <w:tc>
          <w:tcPr>
            <w:tcW w:w="112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3.9游客的不文明游玩现象未及时劝阻的。</w:t>
            </w:r>
          </w:p>
        </w:tc>
        <w:tc>
          <w:tcPr>
            <w:tcW w:w="112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3.10因管理人员态度不友善，收到游客投诉的。</w:t>
            </w:r>
          </w:p>
        </w:tc>
        <w:tc>
          <w:tcPr>
            <w:tcW w:w="112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blHeader/>
          <w:jc w:val="center"/>
        </w:trPr>
        <w:tc>
          <w:tcPr>
            <w:tcW w:w="5000" w:type="pct"/>
            <w:gridSpan w:val="4"/>
            <w:tcBorders>
              <w:left w:val="single" w:color="auto" w:sz="4" w:space="0"/>
              <w:right w:val="single" w:color="auto" w:sz="4" w:space="0"/>
            </w:tcBorders>
            <w:shd w:val="clear" w:color="auto" w:fill="D7D7D7"/>
            <w:noWrap w:val="0"/>
            <w:vAlign w:val="center"/>
          </w:tcPr>
          <w:p>
            <w:pPr>
              <w:jc w:val="left"/>
              <w:rPr>
                <w:rFonts w:hint="eastAsia" w:ascii="宋体" w:hAnsi="宋体" w:cs="宋体"/>
                <w:sz w:val="21"/>
                <w:szCs w:val="21"/>
              </w:rPr>
            </w:pPr>
            <w:r>
              <w:rPr>
                <w:rFonts w:hint="eastAsia" w:ascii="宋体" w:hAnsi="宋体" w:cs="宋体"/>
                <w:b/>
                <w:bCs/>
                <w:sz w:val="21"/>
                <w:szCs w:val="21"/>
              </w:rPr>
              <w:t>（四）人员管理</w:t>
            </w:r>
            <w:r>
              <w:rPr>
                <w:rFonts w:hint="eastAsia" w:ascii="宋体" w:hAnsi="宋体" w:cs="宋体"/>
                <w:b/>
                <w:sz w:val="21"/>
                <w:szCs w:val="21"/>
              </w:rPr>
              <w:t>（2</w:t>
            </w:r>
            <w:r>
              <w:rPr>
                <w:rFonts w:hint="eastAsia" w:ascii="宋体" w:hAnsi="宋体" w:cs="宋体"/>
                <w:b/>
                <w:sz w:val="21"/>
                <w:szCs w:val="21"/>
                <w:lang w:val="en-US" w:eastAsia="zh-CN"/>
              </w:rPr>
              <w:t>5</w:t>
            </w:r>
            <w:r>
              <w:rPr>
                <w:rFonts w:hint="eastAsia" w:ascii="宋体" w:hAnsi="宋体" w:cs="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vMerge w:val="restart"/>
            <w:tcBorders>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工作纪律</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4.1当班期间发生缺岗、脱岗、擅自离岗等现象。</w:t>
            </w:r>
          </w:p>
        </w:tc>
        <w:tc>
          <w:tcPr>
            <w:tcW w:w="1128" w:type="pct"/>
            <w:vMerge w:val="restart"/>
            <w:tcBorders>
              <w:top w:val="single" w:color="auto" w:sz="4" w:space="0"/>
              <w:left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每发现一次扣2分（当季累计扣分）。</w:t>
            </w:r>
          </w:p>
        </w:tc>
        <w:tc>
          <w:tcPr>
            <w:tcW w:w="418"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4.2当班期间未为市民游客提供力所能及的便利，存在服务态度差现象。</w:t>
            </w:r>
          </w:p>
        </w:tc>
        <w:tc>
          <w:tcPr>
            <w:tcW w:w="1128" w:type="pct"/>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4.3当班期间未着统一工作服，当班期间存在打瞌睡、玩手机等与工作内容无关的现象。</w:t>
            </w:r>
          </w:p>
        </w:tc>
        <w:tc>
          <w:tcPr>
            <w:tcW w:w="1128"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每发现一次扣1分（当季累计扣分）。</w:t>
            </w: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c>
          <w:tcPr>
            <w:tcW w:w="25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4.4当班期间存在饮酒等违规情况。</w:t>
            </w:r>
          </w:p>
        </w:tc>
        <w:tc>
          <w:tcPr>
            <w:tcW w:w="1128"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每发现一次，根据情节轻重扣3-5分。</w:t>
            </w:r>
          </w:p>
        </w:tc>
        <w:tc>
          <w:tcPr>
            <w:tcW w:w="418" w:type="pct"/>
            <w:vMerge w:val="continue"/>
            <w:tcBorders>
              <w:left w:val="single" w:color="auto" w:sz="4" w:space="0"/>
              <w:right w:val="single" w:color="auto" w:sz="4" w:space="0"/>
            </w:tcBorders>
            <w:noWrap w:val="0"/>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tcBorders>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服从管理</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4.5未能服从采购人调度或未能完成临时指派任务。</w:t>
            </w:r>
          </w:p>
        </w:tc>
        <w:tc>
          <w:tcPr>
            <w:tcW w:w="112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每发现一次，根据情节轻重扣2-10分。</w:t>
            </w:r>
          </w:p>
        </w:tc>
        <w:tc>
          <w:tcPr>
            <w:tcW w:w="418" w:type="pct"/>
            <w:tcBorders>
              <w:left w:val="single" w:color="auto" w:sz="4" w:space="0"/>
              <w:bottom w:val="single" w:color="auto" w:sz="4" w:space="0"/>
              <w:right w:val="single" w:color="auto" w:sz="4" w:space="0"/>
            </w:tcBorders>
            <w:noWrap w:val="0"/>
            <w:vAlign w:val="center"/>
          </w:tcPr>
          <w:p>
            <w:pPr>
              <w:jc w:val="center"/>
              <w:rPr>
                <w:rFonts w:ascii="宋体" w:hAnsi="宋体" w:eastAsia="仿宋_GB2312"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tcBorders>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岗位要求</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4.6 工程上岗人员</w:t>
            </w:r>
            <w:r>
              <w:rPr>
                <w:rFonts w:hint="eastAsia" w:ascii="宋体" w:hAnsi="宋体" w:cs="宋体"/>
                <w:sz w:val="21"/>
                <w:szCs w:val="21"/>
                <w:lang w:val="en-US" w:eastAsia="zh-CN"/>
              </w:rPr>
              <w:t>无</w:t>
            </w:r>
            <w:r>
              <w:rPr>
                <w:rFonts w:hint="eastAsia" w:ascii="宋体" w:hAnsi="宋体" w:cs="宋体"/>
                <w:sz w:val="21"/>
                <w:szCs w:val="21"/>
              </w:rPr>
              <w:t>电工</w:t>
            </w:r>
            <w:r>
              <w:rPr>
                <w:rFonts w:hint="eastAsia" w:ascii="宋体" w:hAnsi="宋体" w:cs="宋体"/>
                <w:sz w:val="21"/>
                <w:szCs w:val="21"/>
                <w:lang w:val="en-US" w:eastAsia="zh-CN"/>
              </w:rPr>
              <w:t>等</w:t>
            </w:r>
            <w:r>
              <w:rPr>
                <w:rFonts w:hint="eastAsia" w:ascii="宋体" w:hAnsi="宋体" w:cs="宋体"/>
                <w:sz w:val="21"/>
                <w:szCs w:val="21"/>
              </w:rPr>
              <w:t>等相应证件。</w:t>
            </w:r>
          </w:p>
        </w:tc>
        <w:tc>
          <w:tcPr>
            <w:tcW w:w="1128"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每发现一次扣5分。</w:t>
            </w:r>
          </w:p>
        </w:tc>
        <w:tc>
          <w:tcPr>
            <w:tcW w:w="418" w:type="pct"/>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blHeader/>
          <w:jc w:val="center"/>
        </w:trPr>
        <w:tc>
          <w:tcPr>
            <w:tcW w:w="5000" w:type="pct"/>
            <w:gridSpan w:val="4"/>
            <w:tcBorders>
              <w:left w:val="single" w:color="auto" w:sz="4" w:space="0"/>
              <w:right w:val="single" w:color="auto" w:sz="4" w:space="0"/>
            </w:tcBorders>
            <w:shd w:val="clear" w:color="auto" w:fill="D7D7D7"/>
            <w:noWrap w:val="0"/>
            <w:vAlign w:val="center"/>
          </w:tcPr>
          <w:p>
            <w:pPr>
              <w:jc w:val="left"/>
              <w:rPr>
                <w:rFonts w:hint="eastAsia" w:ascii="宋体" w:hAnsi="宋体" w:cs="宋体"/>
                <w:sz w:val="21"/>
                <w:szCs w:val="21"/>
              </w:rPr>
            </w:pPr>
            <w:r>
              <w:rPr>
                <w:rFonts w:hint="eastAsia" w:ascii="宋体" w:hAnsi="宋体" w:cs="宋体"/>
                <w:b/>
                <w:bCs/>
                <w:sz w:val="21"/>
                <w:szCs w:val="21"/>
              </w:rPr>
              <w:t>（五）台账管理</w:t>
            </w:r>
            <w:r>
              <w:rPr>
                <w:rFonts w:hint="eastAsia" w:ascii="宋体" w:hAnsi="宋体" w:cs="宋体"/>
                <w:b/>
                <w:sz w:val="21"/>
                <w:szCs w:val="21"/>
              </w:rPr>
              <w:t>（</w:t>
            </w:r>
            <w:r>
              <w:rPr>
                <w:rFonts w:hint="eastAsia" w:ascii="宋体" w:hAnsi="宋体" w:cs="宋体"/>
                <w:b/>
                <w:sz w:val="21"/>
                <w:szCs w:val="21"/>
                <w:lang w:val="en-US" w:eastAsia="zh-CN"/>
              </w:rPr>
              <w:t>5</w:t>
            </w:r>
            <w:r>
              <w:rPr>
                <w:rFonts w:hint="eastAsia" w:ascii="宋体" w:hAnsi="宋体" w:cs="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870" w:type="pct"/>
            <w:tcBorders>
              <w:left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台账信息</w:t>
            </w:r>
          </w:p>
        </w:tc>
        <w:tc>
          <w:tcPr>
            <w:tcW w:w="258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1"/>
                <w:szCs w:val="21"/>
              </w:rPr>
            </w:pPr>
            <w:r>
              <w:rPr>
                <w:rFonts w:hint="eastAsia" w:ascii="宋体" w:hAnsi="宋体" w:cs="宋体"/>
                <w:sz w:val="21"/>
                <w:szCs w:val="21"/>
              </w:rPr>
              <w:t>5.1未按时提供采购人所需台账资料或提供台账资料不全、不完整。</w:t>
            </w:r>
          </w:p>
        </w:tc>
        <w:tc>
          <w:tcPr>
            <w:tcW w:w="1128"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每缺1项扣1分。</w:t>
            </w:r>
          </w:p>
        </w:tc>
        <w:tc>
          <w:tcPr>
            <w:tcW w:w="4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仿宋_GB2312" w:cs="宋体"/>
                <w:sz w:val="21"/>
                <w:szCs w:val="21"/>
              </w:rPr>
            </w:pPr>
            <w:r>
              <w:rPr>
                <w:rFonts w:hint="eastAsia" w:ascii="宋体" w:hAnsi="宋体" w:eastAsia="仿宋_GB2312"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blHeader/>
          <w:jc w:val="center"/>
        </w:trPr>
        <w:tc>
          <w:tcPr>
            <w:tcW w:w="5000" w:type="pct"/>
            <w:gridSpan w:val="4"/>
            <w:tcBorders>
              <w:left w:val="single" w:color="auto" w:sz="4" w:space="0"/>
              <w:right w:val="single" w:color="auto" w:sz="4" w:space="0"/>
            </w:tcBorders>
            <w:shd w:val="clear" w:color="auto" w:fill="D7D7D7"/>
            <w:noWrap w:val="0"/>
            <w:vAlign w:val="center"/>
          </w:tcPr>
          <w:p>
            <w:pPr>
              <w:jc w:val="left"/>
              <w:rPr>
                <w:rFonts w:hint="eastAsia" w:ascii="宋体" w:hAnsi="宋体" w:cs="宋体"/>
                <w:sz w:val="21"/>
                <w:szCs w:val="21"/>
              </w:rPr>
            </w:pPr>
            <w:r>
              <w:rPr>
                <w:rFonts w:hint="eastAsia" w:ascii="宋体" w:hAnsi="宋体" w:cs="宋体"/>
                <w:b/>
                <w:bCs/>
                <w:sz w:val="21"/>
                <w:szCs w:val="21"/>
              </w:rPr>
              <w:t>备注：</w:t>
            </w:r>
            <w:r>
              <w:rPr>
                <w:rFonts w:hint="eastAsia" w:ascii="宋体" w:hAnsi="宋体" w:cs="宋体"/>
                <w:sz w:val="21"/>
                <w:szCs w:val="21"/>
              </w:rPr>
              <w:t>1.合同期范围内，出现宣传法轮功、污蔑党和国家等的政治事件，未及时制止的，采购人将直接单方面解除合同。</w:t>
            </w:r>
          </w:p>
          <w:p>
            <w:pPr>
              <w:ind w:firstLine="630" w:firstLineChars="300"/>
              <w:jc w:val="left"/>
              <w:rPr>
                <w:rFonts w:hint="eastAsia" w:ascii="宋体" w:hAnsi="宋体" w:eastAsia="仿宋_GB2312" w:cs="宋体"/>
                <w:sz w:val="21"/>
                <w:szCs w:val="21"/>
              </w:rPr>
            </w:pPr>
            <w:r>
              <w:rPr>
                <w:rFonts w:hint="eastAsia" w:ascii="宋体" w:hAnsi="宋体" w:cs="宋体"/>
                <w:sz w:val="21"/>
                <w:szCs w:val="21"/>
              </w:rPr>
              <w:t>2.由采购人专类公园管理所进行每季度考核打分。</w:t>
            </w:r>
          </w:p>
          <w:p>
            <w:pPr>
              <w:ind w:firstLine="630" w:firstLineChars="300"/>
              <w:jc w:val="left"/>
              <w:rPr>
                <w:rFonts w:ascii="宋体" w:hAnsi="宋体" w:cs="宋体"/>
                <w:sz w:val="21"/>
                <w:szCs w:val="21"/>
              </w:rPr>
            </w:pPr>
            <w:r>
              <w:rPr>
                <w:rFonts w:hint="eastAsia" w:ascii="宋体" w:hAnsi="宋体" w:cs="宋体"/>
                <w:sz w:val="21"/>
                <w:szCs w:val="21"/>
              </w:rPr>
              <w:t>3.考核办法为暂行办法，采购人有权对考核办法进行调整，供应商不得拒绝。</w:t>
            </w:r>
          </w:p>
        </w:tc>
      </w:tr>
    </w:tbl>
    <w:p>
      <w:pPr>
        <w:widowControl/>
        <w:spacing w:line="560" w:lineRule="exact"/>
        <w:ind w:firstLine="640" w:firstLineChars="200"/>
        <w:outlineLvl w:val="2"/>
        <w:rPr>
          <w:rFonts w:hint="eastAsia" w:ascii="黑体" w:hAnsi="黑体" w:eastAsia="黑体" w:cs="黑体"/>
          <w:b w:val="0"/>
          <w:bCs/>
          <w:sz w:val="32"/>
          <w:szCs w:val="32"/>
        </w:rPr>
      </w:pPr>
      <w:bookmarkStart w:id="0" w:name="_Toc58856055"/>
      <w:bookmarkStart w:id="1" w:name="_Toc147852560"/>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结算方式及付款方式</w:t>
      </w:r>
      <w:bookmarkEnd w:id="0"/>
      <w:bookmarkEnd w:id="1"/>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imes New Roman" w:hAnsi="Times New Roman" w:eastAsia="仿宋_GB2312" w:cs="仿宋_GB2312"/>
          <w:b/>
          <w:color w:val="auto"/>
          <w:sz w:val="28"/>
          <w:szCs w:val="28"/>
          <w:highlight w:val="none"/>
        </w:rPr>
      </w:pPr>
      <w:r>
        <w:rPr>
          <w:rFonts w:hint="eastAsia" w:ascii="Times New Roman" w:hAnsi="Times New Roman" w:eastAsia="仿宋_GB2312" w:cs="仿宋_GB2312"/>
          <w:b/>
          <w:color w:val="auto"/>
          <w:sz w:val="28"/>
          <w:szCs w:val="28"/>
          <w:highlight w:val="none"/>
        </w:rPr>
        <w:t>结算方式：</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采用先服务后付款的方式进行支付，服务期间根据采购单位的人员配置需求，按实结算</w:t>
      </w:r>
      <w:r>
        <w:rPr>
          <w:rFonts w:hint="eastAsia" w:ascii="Times New Roman" w:hAnsi="Times New Roman" w:eastAsia="仿宋_GB2312" w:cs="仿宋_GB2312"/>
          <w:color w:val="auto"/>
          <w:sz w:val="28"/>
          <w:szCs w:val="28"/>
          <w:highlight w:val="none"/>
          <w:lang w:val="en-US" w:eastAsia="zh-CN"/>
        </w:rPr>
        <w:t>费用。</w:t>
      </w:r>
      <w:r>
        <w:rPr>
          <w:rFonts w:hint="eastAsia" w:ascii="Times New Roman" w:hAnsi="Times New Roman" w:eastAsia="仿宋_GB2312" w:cs="仿宋_GB2312"/>
          <w:color w:val="auto"/>
          <w:sz w:val="28"/>
          <w:szCs w:val="28"/>
          <w:highlight w:val="none"/>
        </w:rPr>
        <w:t>且每季度进行考核，考核后采购人收到有效发票后7个工作日内支付该季度的进度款（同步扣除当前考核季度扣罚费用）。</w:t>
      </w:r>
    </w:p>
    <w:p>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ZDY0NmI5MjUwYTNjYjViNTk5Mjk1ZjFlMzM5NmEifQ=="/>
  </w:docVars>
  <w:rsids>
    <w:rsidRoot w:val="5B1B5153"/>
    <w:rsid w:val="04537DAD"/>
    <w:rsid w:val="05172BC1"/>
    <w:rsid w:val="0C626CE2"/>
    <w:rsid w:val="0DBE5837"/>
    <w:rsid w:val="0F4523AC"/>
    <w:rsid w:val="0FB57932"/>
    <w:rsid w:val="10CE6FF9"/>
    <w:rsid w:val="12643E51"/>
    <w:rsid w:val="19F563B2"/>
    <w:rsid w:val="1B8B2C30"/>
    <w:rsid w:val="1DA01DEB"/>
    <w:rsid w:val="1E0966D1"/>
    <w:rsid w:val="1EB25DE3"/>
    <w:rsid w:val="2238557F"/>
    <w:rsid w:val="228F6980"/>
    <w:rsid w:val="24D43AF8"/>
    <w:rsid w:val="25352E27"/>
    <w:rsid w:val="264F3405"/>
    <w:rsid w:val="2715559E"/>
    <w:rsid w:val="298A2400"/>
    <w:rsid w:val="2B733388"/>
    <w:rsid w:val="2C1B76A7"/>
    <w:rsid w:val="2CF40ED2"/>
    <w:rsid w:val="2D64349A"/>
    <w:rsid w:val="320D062E"/>
    <w:rsid w:val="349856B1"/>
    <w:rsid w:val="34E83F15"/>
    <w:rsid w:val="35AC1078"/>
    <w:rsid w:val="39207926"/>
    <w:rsid w:val="394118AA"/>
    <w:rsid w:val="3AFC1AD3"/>
    <w:rsid w:val="3C936C7E"/>
    <w:rsid w:val="3D6D12F8"/>
    <w:rsid w:val="3ECB00D3"/>
    <w:rsid w:val="3EFC6DB7"/>
    <w:rsid w:val="418C2179"/>
    <w:rsid w:val="461B71BD"/>
    <w:rsid w:val="4E3E324F"/>
    <w:rsid w:val="4ECD74DC"/>
    <w:rsid w:val="51643E15"/>
    <w:rsid w:val="520F5A06"/>
    <w:rsid w:val="561F010D"/>
    <w:rsid w:val="587D7ED1"/>
    <w:rsid w:val="5AA24D92"/>
    <w:rsid w:val="5B1B5153"/>
    <w:rsid w:val="5C4D3BAA"/>
    <w:rsid w:val="5EF7726A"/>
    <w:rsid w:val="60F50C18"/>
    <w:rsid w:val="66A36D40"/>
    <w:rsid w:val="68B5038F"/>
    <w:rsid w:val="68F542AA"/>
    <w:rsid w:val="6BAE3A26"/>
    <w:rsid w:val="6CAF2A93"/>
    <w:rsid w:val="6DF91144"/>
    <w:rsid w:val="6EA52492"/>
    <w:rsid w:val="711B2D02"/>
    <w:rsid w:val="73D252ED"/>
    <w:rsid w:val="74956041"/>
    <w:rsid w:val="75034672"/>
    <w:rsid w:val="761F1109"/>
    <w:rsid w:val="786939D5"/>
    <w:rsid w:val="78981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208"/>
      </w:tabs>
      <w:spacing w:line="432" w:lineRule="auto"/>
    </w:pPr>
    <w:rPr>
      <w:rFonts w:ascii="仿宋_GB2312" w:eastAsia="仿宋_GB2312"/>
      <w:sz w:val="28"/>
    </w:rPr>
  </w:style>
  <w:style w:type="paragraph" w:customStyle="1" w:styleId="3">
    <w:name w:val="自动更正"/>
    <w:qFormat/>
    <w:uiPriority w:val="99"/>
    <w:pPr>
      <w:widowControl w:val="0"/>
    </w:pPr>
    <w:rPr>
      <w:rFonts w:ascii="宋体" w:hAnsi="宋体" w:eastAsia="宋体" w:cs="Times New Roman"/>
      <w:kern w:val="2"/>
      <w:sz w:val="24"/>
      <w:szCs w:val="24"/>
      <w:lang w:val="en-US" w:eastAsia="zh-CN" w:bidi="ar-SA"/>
    </w:rPr>
  </w:style>
  <w:style w:type="paragraph" w:styleId="4">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2024-01-11T00:26:00Z</dcterms:created>
  <dc:creator>Administrator</dc:creator>
  <cp:lastModifiedBy>Administrator</cp:lastModifiedBy>
  <cp:lastPrinted>2024-06-06T06:41:00Z</cp:lastPrinted>
  <dcterms:modified xsi:type="dcterms:W3CDTF">2024-06-06T08:37:06Z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9BF46274B910433F91E9762FF9B53027_12</vt:lpwstr>
  </property>
</Properties>
</file>